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D59" w:rsidRPr="0070512C" w:rsidRDefault="007911C5" w:rsidP="009C37FB">
      <w:pPr>
        <w:rPr>
          <w:rStyle w:val="Emphasis"/>
          <w:rFonts w:cs="Calibri"/>
          <w:b/>
          <w:bCs/>
          <w:sz w:val="28"/>
          <w:szCs w:val="2"/>
          <w:lang w:val="es-ES"/>
        </w:rPr>
      </w:pPr>
      <w:r>
        <w:rPr>
          <w:b/>
          <w:i/>
          <w:noProof/>
          <w:sz w:val="2"/>
          <w:szCs w:val="2"/>
          <w:lang w:eastAsia="en-GB"/>
        </w:rPr>
        <w:drawing>
          <wp:inline distT="0" distB="0" distL="0" distR="0">
            <wp:extent cx="1619250" cy="641350"/>
            <wp:effectExtent l="0" t="0" r="0" b="6350"/>
            <wp:docPr id="1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2D59" w:rsidRPr="0070512C">
        <w:rPr>
          <w:rStyle w:val="Emphasis"/>
          <w:rFonts w:cs="Calibri"/>
          <w:b/>
          <w:bCs/>
          <w:sz w:val="2"/>
          <w:szCs w:val="2"/>
          <w:lang w:val="es-ES"/>
        </w:rPr>
        <w:t xml:space="preserve">                                               </w:t>
      </w:r>
      <w:r w:rsidR="00842D59" w:rsidRPr="0070512C">
        <w:rPr>
          <w:rStyle w:val="Emphasis"/>
          <w:rFonts w:cs="Calibri"/>
          <w:b/>
          <w:bCs/>
          <w:sz w:val="28"/>
          <w:szCs w:val="2"/>
          <w:lang w:val="es-ES"/>
        </w:rPr>
        <w:t xml:space="preserve">   </w:t>
      </w:r>
    </w:p>
    <w:p w:rsidR="00842D59" w:rsidRPr="0070512C" w:rsidRDefault="00842D59" w:rsidP="009C37FB">
      <w:pPr>
        <w:rPr>
          <w:rStyle w:val="Emphasis"/>
          <w:rFonts w:cs="Calibri"/>
          <w:b/>
          <w:bCs/>
          <w:i w:val="0"/>
          <w:sz w:val="20"/>
          <w:szCs w:val="2"/>
          <w:lang w:val="es-ES"/>
        </w:rPr>
      </w:pPr>
      <w:r w:rsidRPr="0070512C">
        <w:rPr>
          <w:rStyle w:val="Emphasis"/>
          <w:rFonts w:cs="Calibri"/>
          <w:b/>
          <w:bCs/>
          <w:i w:val="0"/>
          <w:sz w:val="28"/>
          <w:szCs w:val="2"/>
          <w:lang w:val="es-ES"/>
        </w:rPr>
        <w:t>INFORMACIÓN PARA LOS MEDIOS DE COMUNICACIÓN</w:t>
      </w:r>
      <w:r w:rsidRPr="0070512C">
        <w:rPr>
          <w:rStyle w:val="Emphasis"/>
          <w:rFonts w:cs="Calibri"/>
          <w:b/>
          <w:bCs/>
          <w:i w:val="0"/>
          <w:sz w:val="32"/>
          <w:szCs w:val="2"/>
          <w:lang w:val="es-ES"/>
        </w:rPr>
        <w:t xml:space="preserve">   </w:t>
      </w:r>
      <w:hyperlink r:id="rId9" w:history="1">
        <w:r w:rsidRPr="0070512C">
          <w:rPr>
            <w:rStyle w:val="Hyperlink"/>
            <w:rFonts w:cs="Calibri"/>
            <w:b/>
            <w:bCs/>
            <w:sz w:val="20"/>
            <w:szCs w:val="2"/>
            <w:lang w:val="es-ES"/>
          </w:rPr>
          <w:t>www.ifamilystudy.eu</w:t>
        </w:r>
      </w:hyperlink>
      <w:r w:rsidRPr="0070512C">
        <w:rPr>
          <w:rStyle w:val="Emphasis"/>
          <w:rFonts w:cs="Calibri"/>
          <w:b/>
          <w:bCs/>
          <w:i w:val="0"/>
          <w:sz w:val="20"/>
          <w:szCs w:val="2"/>
          <w:lang w:val="es-ES"/>
        </w:rPr>
        <w:t xml:space="preserve"> </w:t>
      </w:r>
    </w:p>
    <w:p w:rsidR="00842D59" w:rsidRPr="0070512C" w:rsidRDefault="00842D59" w:rsidP="00DB1063">
      <w:pPr>
        <w:rPr>
          <w:rStyle w:val="Emphasis"/>
          <w:rFonts w:cs="Calibri"/>
          <w:i w:val="0"/>
          <w:iCs w:val="0"/>
          <w:sz w:val="18"/>
          <w:szCs w:val="18"/>
          <w:lang w:val="es-ES"/>
        </w:rPr>
      </w:pPr>
      <w:r>
        <w:rPr>
          <w:rStyle w:val="Emphasis"/>
          <w:rFonts w:cs="Calibri"/>
          <w:b/>
          <w:bCs/>
          <w:sz w:val="18"/>
          <w:szCs w:val="18"/>
          <w:lang w:val="es-ES"/>
        </w:rPr>
        <w:t>I</w:t>
      </w:r>
      <w:r w:rsidRPr="0070512C">
        <w:rPr>
          <w:rStyle w:val="Emphasis"/>
          <w:rFonts w:cs="Calibri"/>
          <w:b/>
          <w:bCs/>
          <w:sz w:val="18"/>
          <w:szCs w:val="18"/>
          <w:lang w:val="es-ES"/>
        </w:rPr>
        <w:t xml:space="preserve">nvestigación de los factores determinantes de la elección de la comida, </w:t>
      </w:r>
      <w:r>
        <w:rPr>
          <w:rStyle w:val="Emphasis"/>
          <w:rFonts w:cs="Calibri"/>
          <w:b/>
          <w:bCs/>
          <w:sz w:val="18"/>
          <w:szCs w:val="18"/>
          <w:lang w:val="es-ES"/>
        </w:rPr>
        <w:t xml:space="preserve">el </w:t>
      </w:r>
      <w:r w:rsidRPr="0070512C">
        <w:rPr>
          <w:rStyle w:val="Emphasis"/>
          <w:rFonts w:cs="Calibri"/>
          <w:b/>
          <w:bCs/>
          <w:sz w:val="18"/>
          <w:szCs w:val="18"/>
          <w:lang w:val="es-ES"/>
        </w:rPr>
        <w:t>estilo de vida y</w:t>
      </w:r>
      <w:r>
        <w:rPr>
          <w:rStyle w:val="Emphasis"/>
          <w:rFonts w:cs="Calibri"/>
          <w:b/>
          <w:bCs/>
          <w:sz w:val="18"/>
          <w:szCs w:val="18"/>
          <w:lang w:val="es-ES"/>
        </w:rPr>
        <w:t xml:space="preserve"> la </w:t>
      </w:r>
      <w:r w:rsidRPr="0070512C">
        <w:rPr>
          <w:rStyle w:val="Emphasis"/>
          <w:rFonts w:cs="Calibri"/>
          <w:b/>
          <w:bCs/>
          <w:sz w:val="18"/>
          <w:szCs w:val="18"/>
          <w:lang w:val="es-ES"/>
        </w:rPr>
        <w:t xml:space="preserve"> salud de los niños, los adolescentes y sus padres</w:t>
      </w:r>
      <w:r w:rsidRPr="00F22FC7">
        <w:rPr>
          <w:sz w:val="18"/>
          <w:szCs w:val="18"/>
          <w:lang w:val="es-ES"/>
        </w:rPr>
        <w:t xml:space="preserve"> </w:t>
      </w:r>
      <w:r w:rsidRPr="0070512C">
        <w:rPr>
          <w:rStyle w:val="Emphasis"/>
          <w:rFonts w:cs="Calibri"/>
          <w:b/>
          <w:bCs/>
          <w:sz w:val="18"/>
          <w:szCs w:val="18"/>
          <w:lang w:val="es-ES"/>
        </w:rPr>
        <w:t xml:space="preserve">en Europa.  </w:t>
      </w:r>
      <w:r w:rsidRPr="0070512C">
        <w:rPr>
          <w:rStyle w:val="Emphasis"/>
          <w:rFonts w:cs="Calibri"/>
          <w:b/>
          <w:bCs/>
          <w:i w:val="0"/>
          <w:sz w:val="28"/>
          <w:szCs w:val="2"/>
          <w:lang w:val="es-ES"/>
        </w:rPr>
        <w:t>______________________________________________________________</w:t>
      </w:r>
    </w:p>
    <w:p w:rsidR="00842D59" w:rsidRPr="0070512C" w:rsidRDefault="00842D59" w:rsidP="007D34F5">
      <w:pPr>
        <w:shd w:val="clear" w:color="auto" w:fill="FFFFFF"/>
        <w:spacing w:after="0" w:line="240" w:lineRule="auto"/>
        <w:rPr>
          <w:rFonts w:ascii="Verdana" w:hAnsi="Verdana" w:cs="Verdana"/>
          <w:color w:val="333333"/>
          <w:sz w:val="18"/>
          <w:szCs w:val="18"/>
          <w:lang w:val="es-ES" w:eastAsia="en-GB"/>
        </w:rPr>
      </w:pPr>
      <w:r w:rsidRPr="0070512C">
        <w:rPr>
          <w:rFonts w:ascii="Verdana" w:hAnsi="Verdana" w:cs="Verdana"/>
          <w:b/>
          <w:bCs/>
          <w:color w:val="333333"/>
          <w:sz w:val="18"/>
          <w:szCs w:val="18"/>
          <w:lang w:val="es-ES" w:eastAsia="en-GB"/>
        </w:rPr>
        <w:t xml:space="preserve">Publicado el 18 Octubre de 2012                                    </w:t>
      </w:r>
      <w:r w:rsidRPr="0070512C">
        <w:rPr>
          <w:rFonts w:ascii="Verdana" w:hAnsi="Verdana" w:cs="Verdana"/>
          <w:color w:val="333333"/>
          <w:sz w:val="18"/>
          <w:szCs w:val="18"/>
          <w:lang w:val="es-ES" w:eastAsia="en-GB"/>
        </w:rPr>
        <w:t xml:space="preserve">                      </w:t>
      </w:r>
    </w:p>
    <w:p w:rsidR="00842D59" w:rsidRPr="0070512C" w:rsidRDefault="00842D59" w:rsidP="007D34F5">
      <w:pPr>
        <w:shd w:val="clear" w:color="auto" w:fill="FFFFFF"/>
        <w:spacing w:after="0" w:line="240" w:lineRule="auto"/>
        <w:rPr>
          <w:rFonts w:ascii="Verdana" w:hAnsi="Verdana" w:cs="Verdana"/>
          <w:color w:val="333333"/>
          <w:sz w:val="18"/>
          <w:szCs w:val="18"/>
          <w:lang w:val="es-ES" w:eastAsia="en-GB"/>
        </w:rPr>
      </w:pPr>
    </w:p>
    <w:p w:rsidR="00842D59" w:rsidRPr="00A2110B" w:rsidRDefault="00842D59" w:rsidP="00D41C4A">
      <w:pPr>
        <w:rPr>
          <w:lang w:val="es-ES"/>
        </w:rPr>
      </w:pPr>
      <w:r w:rsidRPr="0070512C">
        <w:rPr>
          <w:lang w:val="es-ES"/>
        </w:rPr>
        <w:t>¿JUEGA</w:t>
      </w:r>
      <w:r w:rsidRPr="00A2110B">
        <w:rPr>
          <w:lang w:val="es-ES"/>
        </w:rPr>
        <w:t xml:space="preserve"> LA FAMILIA UN PAPEL CLAVE EN AYUDAR A LOS PREADOLESCENTES A MANTENER UN PESO SALUDABLE?</w:t>
      </w:r>
    </w:p>
    <w:p w:rsidR="00842D59" w:rsidRPr="00A2110B" w:rsidRDefault="00842D59" w:rsidP="00E713CC">
      <w:pPr>
        <w:rPr>
          <w:lang w:val="es-ES"/>
        </w:rPr>
      </w:pPr>
      <w:r w:rsidRPr="00A2110B">
        <w:rPr>
          <w:lang w:val="es-ES"/>
        </w:rPr>
        <w:t xml:space="preserve">El estudio IDEFICS financiado por la Comunidad Europea (CE) reveló que los niños menores de 10 años que </w:t>
      </w:r>
      <w:r w:rsidRPr="0070512C">
        <w:rPr>
          <w:lang w:val="es-ES"/>
        </w:rPr>
        <w:t>habitualmente</w:t>
      </w:r>
      <w:r w:rsidRPr="00A2110B">
        <w:rPr>
          <w:lang w:val="es-ES"/>
        </w:rPr>
        <w:t xml:space="preserve"> comen dentro de la unidad familiar, que disfrutan de un ambiente estructurado en el hogar</w:t>
      </w:r>
      <w:r>
        <w:rPr>
          <w:lang w:val="es-ES"/>
        </w:rPr>
        <w:t>,</w:t>
      </w:r>
      <w:r w:rsidRPr="00A2110B">
        <w:rPr>
          <w:lang w:val="es-ES"/>
        </w:rPr>
        <w:t xml:space="preserve"> y </w:t>
      </w:r>
      <w:r>
        <w:rPr>
          <w:lang w:val="es-ES"/>
        </w:rPr>
        <w:t>que tienen un sentimiento de</w:t>
      </w:r>
      <w:r w:rsidRPr="00A2110B">
        <w:rPr>
          <w:lang w:val="es-ES"/>
        </w:rPr>
        <w:t xml:space="preserve"> bienestar </w:t>
      </w:r>
      <w:r>
        <w:rPr>
          <w:lang w:val="es-ES"/>
        </w:rPr>
        <w:t xml:space="preserve">reducen en </w:t>
      </w:r>
      <w:r w:rsidRPr="00A2110B">
        <w:rPr>
          <w:lang w:val="es-ES"/>
        </w:rPr>
        <w:t xml:space="preserve">un 50% </w:t>
      </w:r>
      <w:r>
        <w:rPr>
          <w:lang w:val="es-ES"/>
        </w:rPr>
        <w:t>la probabilidad</w:t>
      </w:r>
      <w:r w:rsidRPr="00A2110B">
        <w:rPr>
          <w:lang w:val="es-ES"/>
        </w:rPr>
        <w:t xml:space="preserve"> de  padecer sobrepeso u obesidad.</w:t>
      </w:r>
    </w:p>
    <w:p w:rsidR="00842D59" w:rsidRPr="00A2110B" w:rsidRDefault="00842D59" w:rsidP="00E713CC">
      <w:pPr>
        <w:rPr>
          <w:i/>
          <w:lang w:val="es-ES"/>
        </w:rPr>
      </w:pPr>
      <w:r w:rsidRPr="00A2110B">
        <w:rPr>
          <w:lang w:val="es-ES"/>
        </w:rPr>
        <w:t>Estos</w:t>
      </w:r>
      <w:r>
        <w:rPr>
          <w:lang w:val="es-ES"/>
        </w:rPr>
        <w:t xml:space="preserve"> significantes</w:t>
      </w:r>
      <w:r w:rsidRPr="00A2110B">
        <w:rPr>
          <w:lang w:val="es-ES"/>
        </w:rPr>
        <w:t xml:space="preserve"> </w:t>
      </w:r>
      <w:r>
        <w:rPr>
          <w:lang w:val="es-ES"/>
        </w:rPr>
        <w:t xml:space="preserve">hallazgos </w:t>
      </w:r>
      <w:r w:rsidRPr="00A2110B">
        <w:rPr>
          <w:lang w:val="es-ES"/>
        </w:rPr>
        <w:t xml:space="preserve">del proyecto europeo </w:t>
      </w:r>
      <w:r w:rsidRPr="0070512C">
        <w:rPr>
          <w:lang w:val="es-ES"/>
        </w:rPr>
        <w:t>IDEFICS,</w:t>
      </w:r>
      <w:r w:rsidRPr="00A2110B">
        <w:rPr>
          <w:lang w:val="es-ES"/>
        </w:rPr>
        <w:t xml:space="preserve"> respecto a la importancia de la vida familiar, han sido presentados recientemente en el congreso internacional </w:t>
      </w:r>
      <w:r>
        <w:rPr>
          <w:lang w:val="es-ES"/>
        </w:rPr>
        <w:t>“</w:t>
      </w:r>
      <w:r w:rsidRPr="00A2110B">
        <w:rPr>
          <w:i/>
          <w:lang w:val="es-ES"/>
        </w:rPr>
        <w:t>European Childhood Obesity Group (ECOG)</w:t>
      </w:r>
      <w:r>
        <w:rPr>
          <w:i/>
          <w:lang w:val="es-ES"/>
        </w:rPr>
        <w:t xml:space="preserve"> congreso”</w:t>
      </w:r>
      <w:r w:rsidRPr="00A2110B">
        <w:rPr>
          <w:i/>
          <w:lang w:val="es-ES"/>
        </w:rPr>
        <w:t xml:space="preserve"> </w:t>
      </w:r>
      <w:r w:rsidRPr="00A2110B">
        <w:rPr>
          <w:lang w:val="es-ES"/>
        </w:rPr>
        <w:t>celebrado en Palma de Mallorca</w:t>
      </w:r>
      <w:r>
        <w:rPr>
          <w:lang w:val="es-ES"/>
        </w:rPr>
        <w:t>, del 18 al 20 de Octubre</w:t>
      </w:r>
      <w:r w:rsidRPr="00A2110B">
        <w:rPr>
          <w:i/>
          <w:lang w:val="es-ES"/>
        </w:rPr>
        <w:t>.</w:t>
      </w:r>
    </w:p>
    <w:p w:rsidR="00842D59" w:rsidRPr="00A2110B" w:rsidRDefault="00842D59" w:rsidP="00E713CC">
      <w:pPr>
        <w:rPr>
          <w:lang w:val="es-ES"/>
        </w:rPr>
      </w:pPr>
      <w:r w:rsidRPr="00A2110B">
        <w:rPr>
          <w:lang w:val="es-ES"/>
        </w:rPr>
        <w:t>Pero</w:t>
      </w:r>
      <w:r>
        <w:rPr>
          <w:lang w:val="es-ES"/>
        </w:rPr>
        <w:t>, ¿</w:t>
      </w:r>
      <w:r w:rsidRPr="00A2110B">
        <w:rPr>
          <w:lang w:val="es-ES"/>
        </w:rPr>
        <w:t>se mantiene esta protección frente al riesgo de padecer sobrepeso u obesidad cuando los chico</w:t>
      </w:r>
      <w:r>
        <w:rPr>
          <w:lang w:val="es-ES"/>
        </w:rPr>
        <w:t>s entran en la pre-adolescencia?</w:t>
      </w:r>
      <w:r w:rsidRPr="00A2110B">
        <w:rPr>
          <w:lang w:val="es-ES"/>
        </w:rPr>
        <w:t xml:space="preserve"> </w:t>
      </w:r>
      <w:r>
        <w:rPr>
          <w:lang w:val="es-ES"/>
        </w:rPr>
        <w:t xml:space="preserve"> </w:t>
      </w:r>
      <w:r w:rsidRPr="00A2110B">
        <w:rPr>
          <w:lang w:val="es-ES"/>
        </w:rPr>
        <w:t xml:space="preserve">La pre adolescencia constituye un periodo en el que, </w:t>
      </w:r>
      <w:r>
        <w:rPr>
          <w:lang w:val="es-ES"/>
        </w:rPr>
        <w:t>aunque todavía no se es adolescente</w:t>
      </w:r>
      <w:r w:rsidRPr="00A2110B">
        <w:rPr>
          <w:lang w:val="es-ES"/>
        </w:rPr>
        <w:t>, entra en juego una mayor infl</w:t>
      </w:r>
      <w:r>
        <w:rPr>
          <w:lang w:val="es-ES"/>
        </w:rPr>
        <w:t>uencia externa. É</w:t>
      </w:r>
      <w:r w:rsidRPr="00A2110B">
        <w:rPr>
          <w:lang w:val="es-ES"/>
        </w:rPr>
        <w:t xml:space="preserve">sta es una de las cuestiones clave que estudiará el proyecto I.Family. </w:t>
      </w:r>
    </w:p>
    <w:p w:rsidR="00842D59" w:rsidRPr="00A2110B" w:rsidRDefault="00842D59" w:rsidP="00E713CC">
      <w:pPr>
        <w:rPr>
          <w:lang w:val="es-ES"/>
        </w:rPr>
      </w:pPr>
      <w:r w:rsidRPr="00A2110B">
        <w:rPr>
          <w:lang w:val="es-ES"/>
        </w:rPr>
        <w:t>Iris Pigeot, Coordinador</w:t>
      </w:r>
      <w:r>
        <w:rPr>
          <w:lang w:val="es-ES"/>
        </w:rPr>
        <w:t>a adjunta</w:t>
      </w:r>
      <w:r w:rsidRPr="00A2110B">
        <w:rPr>
          <w:lang w:val="es-ES"/>
        </w:rPr>
        <w:t xml:space="preserve"> de ambos proyectos</w:t>
      </w:r>
      <w:r>
        <w:rPr>
          <w:lang w:val="es-ES"/>
        </w:rPr>
        <w:t>,</w:t>
      </w:r>
      <w:r w:rsidRPr="00A2110B">
        <w:rPr>
          <w:lang w:val="es-ES"/>
        </w:rPr>
        <w:t xml:space="preserve"> IDEFICS e I.Family (</w:t>
      </w:r>
      <w:r>
        <w:rPr>
          <w:lang w:val="es-ES"/>
        </w:rPr>
        <w:t>Catedrática</w:t>
      </w:r>
      <w:r w:rsidRPr="00A2110B">
        <w:rPr>
          <w:lang w:val="es-ES"/>
        </w:rPr>
        <w:t xml:space="preserve"> de Métodos Biométricos y Epidemiología</w:t>
      </w:r>
      <w:r>
        <w:rPr>
          <w:lang w:val="es-ES"/>
        </w:rPr>
        <w:t xml:space="preserve"> en el “</w:t>
      </w:r>
      <w:r w:rsidRPr="00E713CC">
        <w:rPr>
          <w:lang w:val="es-ES"/>
        </w:rPr>
        <w:t>Institute for Epidemiology and Prevention Research”</w:t>
      </w:r>
      <w:r>
        <w:rPr>
          <w:lang w:val="es-ES"/>
        </w:rPr>
        <w:t xml:space="preserve"> (BIPS),</w:t>
      </w:r>
      <w:r w:rsidRPr="00A2110B">
        <w:rPr>
          <w:lang w:val="es-ES"/>
        </w:rPr>
        <w:t xml:space="preserve"> </w:t>
      </w:r>
      <w:r>
        <w:rPr>
          <w:lang w:val="es-ES"/>
        </w:rPr>
        <w:t>en Bremen, Alemania, declaró</w:t>
      </w:r>
      <w:r w:rsidRPr="00A2110B">
        <w:rPr>
          <w:lang w:val="es-ES"/>
        </w:rPr>
        <w:t xml:space="preserve"> en el ECOG: "Los niños menores de 10 años que viven dentro del ambiente familiar, que especialmente comen dentro de la una unidad familiar, y que </w:t>
      </w:r>
      <w:r>
        <w:rPr>
          <w:lang w:val="es-ES"/>
        </w:rPr>
        <w:t>tienen un sentimiento de</w:t>
      </w:r>
      <w:r w:rsidRPr="00A2110B">
        <w:rPr>
          <w:lang w:val="es-ES"/>
        </w:rPr>
        <w:t xml:space="preserve"> bienestar, </w:t>
      </w:r>
      <w:r>
        <w:rPr>
          <w:lang w:val="es-ES"/>
        </w:rPr>
        <w:t xml:space="preserve">reducen en </w:t>
      </w:r>
      <w:r w:rsidRPr="00A2110B">
        <w:rPr>
          <w:lang w:val="es-ES"/>
        </w:rPr>
        <w:t xml:space="preserve">un 50% </w:t>
      </w:r>
      <w:r>
        <w:rPr>
          <w:lang w:val="es-ES"/>
        </w:rPr>
        <w:t>el</w:t>
      </w:r>
      <w:r w:rsidRPr="00A2110B">
        <w:rPr>
          <w:lang w:val="es-ES"/>
        </w:rPr>
        <w:t xml:space="preserve"> riesgo de padecer sobrepeso u obesidad. </w:t>
      </w:r>
      <w:r>
        <w:rPr>
          <w:lang w:val="es-ES"/>
        </w:rPr>
        <w:t>El</w:t>
      </w:r>
      <w:r w:rsidRPr="00A2110B">
        <w:rPr>
          <w:lang w:val="es-ES"/>
        </w:rPr>
        <w:t xml:space="preserve"> entorno familiar </w:t>
      </w:r>
      <w:r>
        <w:rPr>
          <w:lang w:val="es-ES"/>
        </w:rPr>
        <w:t xml:space="preserve">acogedor </w:t>
      </w:r>
      <w:r w:rsidRPr="00A2110B">
        <w:rPr>
          <w:lang w:val="es-ES"/>
        </w:rPr>
        <w:t>es la clave para mantener un peso saludable."</w:t>
      </w:r>
    </w:p>
    <w:p w:rsidR="00842D59" w:rsidRPr="00A2110B" w:rsidRDefault="00842D59" w:rsidP="00254F00">
      <w:pPr>
        <w:rPr>
          <w:lang w:val="es-ES"/>
        </w:rPr>
      </w:pPr>
      <w:r w:rsidRPr="00A2110B">
        <w:rPr>
          <w:lang w:val="es-ES"/>
        </w:rPr>
        <w:t xml:space="preserve">"Este efecto sorprendente y significativo se </w:t>
      </w:r>
      <w:r>
        <w:rPr>
          <w:lang w:val="es-ES"/>
        </w:rPr>
        <w:t>ha demostrado</w:t>
      </w:r>
      <w:r w:rsidRPr="00A2110B">
        <w:rPr>
          <w:lang w:val="es-ES"/>
        </w:rPr>
        <w:t xml:space="preserve"> </w:t>
      </w:r>
      <w:r>
        <w:rPr>
          <w:lang w:val="es-ES"/>
        </w:rPr>
        <w:t>con</w:t>
      </w:r>
      <w:r w:rsidRPr="00A2110B">
        <w:rPr>
          <w:lang w:val="es-ES"/>
        </w:rPr>
        <w:t xml:space="preserve"> los datos obtenidos en el estudio IDEFICS basado en una cohorte de 16.000 niños procedentes de 8 países europeos".</w:t>
      </w:r>
    </w:p>
    <w:p w:rsidR="00842D59" w:rsidRPr="00A2110B" w:rsidRDefault="00842D59" w:rsidP="00254F00">
      <w:pPr>
        <w:rPr>
          <w:lang w:val="es-ES"/>
        </w:rPr>
      </w:pPr>
      <w:r w:rsidRPr="00A2110B">
        <w:rPr>
          <w:lang w:val="es-ES"/>
        </w:rPr>
        <w:t>"¿Qué vamos a hacer ahora en el estudio I</w:t>
      </w:r>
      <w:r>
        <w:rPr>
          <w:lang w:val="es-ES"/>
        </w:rPr>
        <w:t>.</w:t>
      </w:r>
      <w:r w:rsidRPr="00A2110B">
        <w:rPr>
          <w:lang w:val="es-ES"/>
        </w:rPr>
        <w:t>Family</w:t>
      </w:r>
      <w:r>
        <w:rPr>
          <w:lang w:val="es-ES"/>
        </w:rPr>
        <w:t>,</w:t>
      </w:r>
      <w:r w:rsidRPr="00A2110B">
        <w:rPr>
          <w:lang w:val="es-ES"/>
        </w:rPr>
        <w:t xml:space="preserve"> siguiendo la cohorte del proyecto IDEFICS</w:t>
      </w:r>
      <w:r>
        <w:rPr>
          <w:lang w:val="es-ES"/>
        </w:rPr>
        <w:t>?</w:t>
      </w:r>
      <w:r w:rsidRPr="00A2110B">
        <w:rPr>
          <w:lang w:val="es-ES"/>
        </w:rPr>
        <w:t xml:space="preserve">", continúa Pigeot, "vamos a ver hasta qué punto el papel del apoyo familiar sigue teniendo ese efecto significativo en los niños cuando </w:t>
      </w:r>
      <w:r>
        <w:rPr>
          <w:lang w:val="es-ES"/>
        </w:rPr>
        <w:t>pasa</w:t>
      </w:r>
      <w:r w:rsidRPr="00A2110B">
        <w:rPr>
          <w:lang w:val="es-ES"/>
        </w:rPr>
        <w:t xml:space="preserve">n a ser pre-adolescentes, </w:t>
      </w:r>
      <w:r>
        <w:rPr>
          <w:lang w:val="es-ES"/>
        </w:rPr>
        <w:t xml:space="preserve">es decir, </w:t>
      </w:r>
      <w:r w:rsidRPr="00A2110B">
        <w:rPr>
          <w:lang w:val="es-ES"/>
        </w:rPr>
        <w:t>si la familia va a seguir teniendo este papel tan importante</w:t>
      </w:r>
      <w:r>
        <w:rPr>
          <w:lang w:val="es-ES"/>
        </w:rPr>
        <w:t>,</w:t>
      </w:r>
      <w:r w:rsidRPr="00A2110B">
        <w:rPr>
          <w:lang w:val="es-ES"/>
        </w:rPr>
        <w:t xml:space="preserve"> o si éste va a ser asumido por el grupo de compañeros al que pertenezca el chico, o si otros factores del entorno pasan a tener un mayor impacto</w:t>
      </w:r>
      <w:r>
        <w:rPr>
          <w:lang w:val="es-ES"/>
        </w:rPr>
        <w:t>.</w:t>
      </w:r>
      <w:r w:rsidRPr="00A2110B">
        <w:rPr>
          <w:lang w:val="es-ES"/>
        </w:rPr>
        <w:t>"</w:t>
      </w:r>
    </w:p>
    <w:p w:rsidR="00842D59" w:rsidRPr="00A2110B" w:rsidRDefault="00842D59" w:rsidP="00D41C4A">
      <w:pPr>
        <w:rPr>
          <w:lang w:val="es-ES"/>
        </w:rPr>
      </w:pPr>
      <w:r w:rsidRPr="00A2110B">
        <w:rPr>
          <w:lang w:val="es-ES"/>
        </w:rPr>
        <w:t xml:space="preserve">El estudio IDEFICS ha demostrado claramente que en el niño, el bienestar emocional, la autoestima, las relaciones dentro de la unidad familiar y las relaciones sociales son elementos clave para mantener un peso saludable. I.Family intentará determinar hasta qué punto el papel de la unidad </w:t>
      </w:r>
      <w:r w:rsidRPr="00A2110B">
        <w:rPr>
          <w:lang w:val="es-ES"/>
        </w:rPr>
        <w:lastRenderedPageBreak/>
        <w:t>familiar es uno de los factores críticos, o de hecho el factor critico, en el apoyo a los pre-adolescentes para combatir la obesidad</w:t>
      </w:r>
      <w:r>
        <w:rPr>
          <w:lang w:val="es-ES"/>
        </w:rPr>
        <w:t>.</w:t>
      </w:r>
      <w:r w:rsidRPr="00A2110B">
        <w:rPr>
          <w:lang w:val="es-ES"/>
        </w:rPr>
        <w:t xml:space="preserve"> "</w:t>
      </w:r>
    </w:p>
    <w:p w:rsidR="00842D59" w:rsidRPr="00A2110B" w:rsidRDefault="00842D59" w:rsidP="00D41C4A">
      <w:pPr>
        <w:rPr>
          <w:lang w:val="es-ES"/>
        </w:rPr>
      </w:pPr>
      <w:r w:rsidRPr="00A2110B">
        <w:rPr>
          <w:lang w:val="es-ES"/>
        </w:rPr>
        <w:t xml:space="preserve">FIN / Notas </w:t>
      </w:r>
    </w:p>
    <w:p w:rsidR="00842D59" w:rsidRPr="00A2110B" w:rsidRDefault="00842D59" w:rsidP="00D41C4A">
      <w:pPr>
        <w:rPr>
          <w:lang w:val="es-ES"/>
        </w:rPr>
      </w:pPr>
      <w:r w:rsidRPr="00A2110B">
        <w:rPr>
          <w:lang w:val="es-ES"/>
        </w:rPr>
        <w:t>Disponible para la entrevista - Coordinador</w:t>
      </w:r>
      <w:r w:rsidR="00A51AFC">
        <w:rPr>
          <w:lang w:val="es-ES"/>
        </w:rPr>
        <w:t>a</w:t>
      </w:r>
      <w:r w:rsidRPr="00A2110B">
        <w:rPr>
          <w:lang w:val="es-ES"/>
        </w:rPr>
        <w:t xml:space="preserve"> Adjunt</w:t>
      </w:r>
      <w:r w:rsidR="00A51AFC">
        <w:rPr>
          <w:lang w:val="es-ES"/>
        </w:rPr>
        <w:t>a</w:t>
      </w:r>
      <w:r w:rsidRPr="00A2110B">
        <w:rPr>
          <w:lang w:val="es-ES"/>
        </w:rPr>
        <w:t xml:space="preserve"> del Proyecto Profesor Iris Pigeot</w:t>
      </w:r>
    </w:p>
    <w:p w:rsidR="00842D59" w:rsidRPr="00A2110B" w:rsidRDefault="00842D59" w:rsidP="00D41C4A">
      <w:pPr>
        <w:rPr>
          <w:lang w:val="es-ES"/>
        </w:rPr>
      </w:pPr>
      <w:r w:rsidRPr="00A2110B">
        <w:rPr>
          <w:lang w:val="es-ES"/>
        </w:rPr>
        <w:t xml:space="preserve">Para </w:t>
      </w:r>
      <w:r w:rsidRPr="0070512C">
        <w:rPr>
          <w:lang w:val="es-ES"/>
        </w:rPr>
        <w:t>organizar</w:t>
      </w:r>
      <w:r w:rsidRPr="00A2110B">
        <w:rPr>
          <w:lang w:val="es-ES"/>
        </w:rPr>
        <w:t xml:space="preserve"> la entrevista o </w:t>
      </w:r>
      <w:r w:rsidRPr="0070512C">
        <w:rPr>
          <w:lang w:val="es-ES"/>
        </w:rPr>
        <w:t>cualquier</w:t>
      </w:r>
      <w:r w:rsidRPr="00A2110B">
        <w:rPr>
          <w:lang w:val="es-ES"/>
        </w:rPr>
        <w:t xml:space="preserve"> otra información adicional, contactar con Rhonda Smith, de Minerva, en el teléfono +44 (0) 7887-714957 </w:t>
      </w:r>
    </w:p>
    <w:p w:rsidR="00842D59" w:rsidRDefault="00842D59" w:rsidP="00D41C4A">
      <w:pPr>
        <w:rPr>
          <w:lang w:val="es-ES"/>
        </w:rPr>
      </w:pPr>
    </w:p>
    <w:p w:rsidR="00842D59" w:rsidRPr="00254F00" w:rsidRDefault="00842D59" w:rsidP="00D41C4A">
      <w:pPr>
        <w:rPr>
          <w:b/>
          <w:bCs/>
          <w:u w:val="single"/>
          <w:lang w:val="es-ES"/>
        </w:rPr>
      </w:pPr>
      <w:r w:rsidRPr="00254F00">
        <w:rPr>
          <w:b/>
          <w:bCs/>
          <w:u w:val="single"/>
          <w:lang w:val="es-ES"/>
        </w:rPr>
        <w:t>Notas para los redactores:</w:t>
      </w:r>
    </w:p>
    <w:p w:rsidR="00842D59" w:rsidRPr="00A2110B" w:rsidRDefault="00842D59" w:rsidP="00D41C4A">
      <w:pPr>
        <w:rPr>
          <w:lang w:val="es-ES"/>
        </w:rPr>
      </w:pPr>
    </w:p>
    <w:p w:rsidR="00842D59" w:rsidRPr="00A2110B" w:rsidRDefault="00842D59" w:rsidP="00D41C4A">
      <w:pPr>
        <w:rPr>
          <w:lang w:val="es-ES"/>
        </w:rPr>
      </w:pPr>
      <w:r w:rsidRPr="00A2110B">
        <w:rPr>
          <w:lang w:val="es-ES"/>
        </w:rPr>
        <w:t>1. El Estudio I.Family es un proyecto financiado por la CE dentro del programa Marco 7 KBBE (de marzo de 2012 a marzo de 2017). Cuenta con 17</w:t>
      </w:r>
      <w:r>
        <w:rPr>
          <w:lang w:val="es-ES"/>
        </w:rPr>
        <w:t xml:space="preserve"> </w:t>
      </w:r>
      <w:r w:rsidRPr="00A2110B">
        <w:rPr>
          <w:lang w:val="es-ES"/>
        </w:rPr>
        <w:t>grupos de investigación, que trabajan en 11 países y con cohortes en 8 países europeos: Alemania, Italia, Suecia, Hungría, Chipre, Estonia, España y Bélgica.</w:t>
      </w:r>
    </w:p>
    <w:p w:rsidR="00842D59" w:rsidRPr="00A2110B" w:rsidRDefault="00842D59" w:rsidP="00D41C4A">
      <w:pPr>
        <w:rPr>
          <w:lang w:val="es-ES"/>
        </w:rPr>
      </w:pPr>
    </w:p>
    <w:p w:rsidR="00842D59" w:rsidRPr="00A2110B" w:rsidRDefault="00842D59" w:rsidP="00D41C4A">
      <w:pPr>
        <w:rPr>
          <w:lang w:val="es-ES"/>
        </w:rPr>
      </w:pPr>
      <w:r w:rsidRPr="00A2110B">
        <w:rPr>
          <w:lang w:val="es-ES"/>
        </w:rPr>
        <w:t>2. El estudio tiene dos objetivos principales:</w:t>
      </w:r>
    </w:p>
    <w:p w:rsidR="00842D59" w:rsidRPr="00A2110B" w:rsidRDefault="00842D59" w:rsidP="00254F00">
      <w:pPr>
        <w:ind w:left="540"/>
        <w:rPr>
          <w:lang w:val="es-ES"/>
        </w:rPr>
      </w:pPr>
      <w:r w:rsidRPr="00A2110B">
        <w:rPr>
          <w:lang w:val="es-ES"/>
        </w:rPr>
        <w:t xml:space="preserve">(1) comprender la interacción entre los factores que promueven </w:t>
      </w:r>
      <w:r>
        <w:rPr>
          <w:lang w:val="es-ES"/>
        </w:rPr>
        <w:t>o dificultan</w:t>
      </w:r>
      <w:r w:rsidRPr="00A2110B">
        <w:rPr>
          <w:lang w:val="es-ES"/>
        </w:rPr>
        <w:t xml:space="preserve"> la elección de alimentos saludables</w:t>
      </w:r>
    </w:p>
    <w:p w:rsidR="00842D59" w:rsidRPr="00A2110B" w:rsidRDefault="00842D59" w:rsidP="00254F00">
      <w:pPr>
        <w:ind w:left="540"/>
        <w:rPr>
          <w:lang w:val="es-ES"/>
        </w:rPr>
      </w:pPr>
      <w:r w:rsidRPr="00A2110B">
        <w:rPr>
          <w:lang w:val="es-ES"/>
        </w:rPr>
        <w:t>(2) desarrollar y divulgar estrategias para inducir cambios de comportamiento que promuevan la dieta saludable en los consumidores europeos en especial en los adolescentes y en sus padres</w:t>
      </w:r>
    </w:p>
    <w:p w:rsidR="00842D59" w:rsidRPr="00A2110B" w:rsidRDefault="00842D59" w:rsidP="00D41C4A">
      <w:pPr>
        <w:rPr>
          <w:lang w:val="es-ES"/>
        </w:rPr>
      </w:pPr>
    </w:p>
    <w:p w:rsidR="00842D59" w:rsidRPr="00A2110B" w:rsidRDefault="00842D59" w:rsidP="00D41C4A">
      <w:pPr>
        <w:rPr>
          <w:lang w:val="es-ES"/>
        </w:rPr>
      </w:pPr>
      <w:r w:rsidRPr="00A2110B">
        <w:rPr>
          <w:lang w:val="es-ES"/>
        </w:rPr>
        <w:t>3. En el Estudio I.Family se vuelve</w:t>
      </w:r>
      <w:r>
        <w:rPr>
          <w:lang w:val="es-ES"/>
        </w:rPr>
        <w:t>n</w:t>
      </w:r>
      <w:r w:rsidRPr="00A2110B">
        <w:rPr>
          <w:lang w:val="es-ES"/>
        </w:rPr>
        <w:t xml:space="preserve"> a evaluar a las primeras familias que participaron en el estudio IDEFICS</w:t>
      </w:r>
      <w:r>
        <w:rPr>
          <w:lang w:val="es-ES"/>
        </w:rPr>
        <w:t>,</w:t>
      </w:r>
      <w:r w:rsidRPr="00A2110B">
        <w:rPr>
          <w:lang w:val="es-ES"/>
        </w:rPr>
        <w:t xml:space="preserve"> cuando los niños tenían menos de 10 años de edad, ahora que estos niños entran en la pre- adolescencia. Se identifican las familias que han adoptado un enfoque saludable en la elección de la comida y de los hábitos alimentarios y las que no lo tienen. </w:t>
      </w:r>
    </w:p>
    <w:p w:rsidR="00842D59" w:rsidRPr="00A2110B" w:rsidRDefault="00842D59" w:rsidP="00D41C4A">
      <w:pPr>
        <w:rPr>
          <w:lang w:val="es-ES"/>
        </w:rPr>
      </w:pPr>
      <w:r w:rsidRPr="00A2110B">
        <w:rPr>
          <w:lang w:val="es-ES"/>
        </w:rPr>
        <w:t>I.Family adopta un enfoque holístico ya que también está investigando los factores biológicos, conductuales, sociales y ambientales que impulsan la conducta alimentaria durante la transición de los niños hacia la edad adulta.</w:t>
      </w:r>
    </w:p>
    <w:p w:rsidR="00842D59" w:rsidRPr="0070512C" w:rsidRDefault="00842D59">
      <w:pPr>
        <w:spacing w:after="0" w:line="240" w:lineRule="auto"/>
        <w:rPr>
          <w:b/>
          <w:sz w:val="20"/>
          <w:szCs w:val="20"/>
          <w:lang w:val="es-ES"/>
        </w:rPr>
      </w:pPr>
      <w:r w:rsidRPr="0070512C">
        <w:rPr>
          <w:b/>
          <w:sz w:val="20"/>
          <w:szCs w:val="20"/>
          <w:lang w:val="es-ES"/>
        </w:rPr>
        <w:br w:type="page"/>
      </w:r>
    </w:p>
    <w:p w:rsidR="00842D59" w:rsidRPr="0070512C" w:rsidRDefault="00842D59" w:rsidP="008E76A9">
      <w:pPr>
        <w:pStyle w:val="ListParagraph"/>
        <w:shd w:val="clear" w:color="auto" w:fill="FFFFFF"/>
        <w:spacing w:after="0" w:line="240" w:lineRule="auto"/>
        <w:ind w:left="360"/>
        <w:rPr>
          <w:b/>
          <w:sz w:val="20"/>
          <w:szCs w:val="20"/>
          <w:lang w:val="es-ES"/>
        </w:rPr>
      </w:pPr>
    </w:p>
    <w:p w:rsidR="00842D59" w:rsidRPr="0070512C" w:rsidRDefault="00842D59" w:rsidP="00706E03">
      <w:pPr>
        <w:pStyle w:val="ListParagraph"/>
        <w:shd w:val="clear" w:color="auto" w:fill="FFFFFF"/>
        <w:spacing w:after="0" w:line="240" w:lineRule="auto"/>
        <w:ind w:left="360"/>
        <w:rPr>
          <w:sz w:val="20"/>
          <w:szCs w:val="20"/>
          <w:lang w:val="es-ES"/>
        </w:rPr>
      </w:pPr>
    </w:p>
    <w:p w:rsidR="00842D59" w:rsidRPr="0070512C" w:rsidRDefault="00842D59" w:rsidP="008E76A9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b/>
          <w:sz w:val="20"/>
          <w:szCs w:val="20"/>
          <w:lang w:val="es-ES"/>
        </w:rPr>
      </w:pPr>
      <w:r w:rsidRPr="0070512C">
        <w:rPr>
          <w:b/>
          <w:sz w:val="20"/>
          <w:szCs w:val="20"/>
          <w:lang w:val="es-ES"/>
        </w:rPr>
        <w:t xml:space="preserve">Participantes en el proyecto I Family </w:t>
      </w:r>
    </w:p>
    <w:p w:rsidR="00842D59" w:rsidRPr="0070512C" w:rsidRDefault="00842D59" w:rsidP="00706E03">
      <w:pPr>
        <w:shd w:val="clear" w:color="auto" w:fill="FFFFFF"/>
        <w:spacing w:after="0" w:line="240" w:lineRule="auto"/>
        <w:rPr>
          <w:sz w:val="20"/>
          <w:szCs w:val="20"/>
          <w:lang w:val="es-E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10"/>
        <w:gridCol w:w="2268"/>
        <w:gridCol w:w="2738"/>
      </w:tblGrid>
      <w:tr w:rsidR="00842D59" w:rsidRPr="006D258D">
        <w:tc>
          <w:tcPr>
            <w:tcW w:w="3510" w:type="dxa"/>
          </w:tcPr>
          <w:p w:rsidR="00842D59" w:rsidRPr="00995CAF" w:rsidRDefault="00842D59" w:rsidP="009A07F3">
            <w:pPr>
              <w:spacing w:before="60" w:after="60"/>
              <w:rPr>
                <w:rStyle w:val="Emphasis"/>
                <w:rFonts w:cs="Calibri"/>
                <w:sz w:val="20"/>
                <w:szCs w:val="20"/>
              </w:rPr>
            </w:pPr>
            <w:r>
              <w:rPr>
                <w:rStyle w:val="Emphasis"/>
                <w:rFonts w:cs="Calibri"/>
                <w:sz w:val="20"/>
                <w:szCs w:val="20"/>
              </w:rPr>
              <w:t>Organización participante</w:t>
            </w:r>
          </w:p>
        </w:tc>
        <w:tc>
          <w:tcPr>
            <w:tcW w:w="2268" w:type="dxa"/>
          </w:tcPr>
          <w:p w:rsidR="00842D59" w:rsidRPr="00995CAF" w:rsidRDefault="00842D59" w:rsidP="009A07F3">
            <w:pPr>
              <w:spacing w:before="60" w:after="60"/>
              <w:rPr>
                <w:rStyle w:val="Emphasis"/>
                <w:rFonts w:cs="Calibri"/>
                <w:sz w:val="20"/>
                <w:szCs w:val="20"/>
              </w:rPr>
            </w:pPr>
            <w:r>
              <w:rPr>
                <w:rStyle w:val="Emphasis"/>
                <w:rFonts w:cs="Calibri"/>
                <w:sz w:val="20"/>
                <w:szCs w:val="20"/>
              </w:rPr>
              <w:t>Investigador principal</w:t>
            </w:r>
            <w:r w:rsidRPr="00995CAF">
              <w:rPr>
                <w:rStyle w:val="Emphasis"/>
                <w:rFonts w:cs="Calibri"/>
                <w:sz w:val="20"/>
                <w:szCs w:val="20"/>
              </w:rPr>
              <w:t xml:space="preserve"> (</w:t>
            </w:r>
            <w:r>
              <w:rPr>
                <w:rStyle w:val="Emphasis"/>
                <w:rFonts w:cs="Calibri"/>
                <w:sz w:val="20"/>
                <w:szCs w:val="20"/>
              </w:rPr>
              <w:t>e</w:t>
            </w:r>
            <w:r w:rsidRPr="00995CAF">
              <w:rPr>
                <w:rStyle w:val="Emphasis"/>
                <w:rFonts w:cs="Calibri"/>
                <w:sz w:val="20"/>
                <w:szCs w:val="20"/>
              </w:rPr>
              <w:t>s)</w:t>
            </w:r>
          </w:p>
        </w:tc>
        <w:tc>
          <w:tcPr>
            <w:tcW w:w="2738" w:type="dxa"/>
          </w:tcPr>
          <w:p w:rsidR="00842D59" w:rsidRPr="00995CAF" w:rsidRDefault="00842D59" w:rsidP="009A07F3">
            <w:pPr>
              <w:spacing w:before="60" w:after="60"/>
              <w:rPr>
                <w:rStyle w:val="Emphasis"/>
                <w:rFonts w:cs="Calibri"/>
                <w:sz w:val="20"/>
                <w:szCs w:val="20"/>
              </w:rPr>
            </w:pPr>
            <w:r>
              <w:rPr>
                <w:rStyle w:val="Emphasis"/>
                <w:rFonts w:cs="Calibri"/>
                <w:sz w:val="20"/>
                <w:szCs w:val="20"/>
              </w:rPr>
              <w:t xml:space="preserve">Responsabilidades </w:t>
            </w:r>
          </w:p>
        </w:tc>
      </w:tr>
      <w:tr w:rsidR="00842D59" w:rsidRPr="006D258D">
        <w:tc>
          <w:tcPr>
            <w:tcW w:w="3510" w:type="dxa"/>
          </w:tcPr>
          <w:p w:rsidR="00842D59" w:rsidRPr="00995CAF" w:rsidRDefault="00842D59" w:rsidP="009A07F3">
            <w:pPr>
              <w:spacing w:before="60" w:after="60"/>
              <w:rPr>
                <w:sz w:val="20"/>
                <w:szCs w:val="20"/>
              </w:rPr>
            </w:pPr>
            <w:r w:rsidRPr="00995CAF">
              <w:rPr>
                <w:sz w:val="20"/>
                <w:szCs w:val="20"/>
              </w:rPr>
              <w:t xml:space="preserve">University of Bremen, </w:t>
            </w:r>
            <w:r>
              <w:rPr>
                <w:sz w:val="20"/>
                <w:szCs w:val="20"/>
              </w:rPr>
              <w:t>Alemania</w:t>
            </w:r>
          </w:p>
        </w:tc>
        <w:tc>
          <w:tcPr>
            <w:tcW w:w="2268" w:type="dxa"/>
          </w:tcPr>
          <w:p w:rsidR="00842D59" w:rsidRPr="00995CAF" w:rsidRDefault="00842D59" w:rsidP="009A07F3">
            <w:pPr>
              <w:spacing w:before="60" w:after="60"/>
              <w:rPr>
                <w:sz w:val="20"/>
                <w:szCs w:val="20"/>
              </w:rPr>
            </w:pPr>
            <w:r w:rsidRPr="00995CAF">
              <w:rPr>
                <w:sz w:val="20"/>
                <w:szCs w:val="20"/>
              </w:rPr>
              <w:t>Wolfgang Ahrens</w:t>
            </w:r>
          </w:p>
        </w:tc>
        <w:tc>
          <w:tcPr>
            <w:tcW w:w="2738" w:type="dxa"/>
          </w:tcPr>
          <w:p w:rsidR="00842D59" w:rsidRPr="00995CAF" w:rsidRDefault="00842D59" w:rsidP="009A07F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Coordinad</w:t>
            </w:r>
            <w:r w:rsidRPr="00995CAF">
              <w:rPr>
                <w:sz w:val="20"/>
                <w:szCs w:val="20"/>
              </w:rPr>
              <w:t xml:space="preserve">or </w:t>
            </w:r>
            <w:r>
              <w:rPr>
                <w:sz w:val="20"/>
                <w:szCs w:val="20"/>
              </w:rPr>
              <w:t>del p</w:t>
            </w:r>
            <w:r w:rsidRPr="00995CAF">
              <w:rPr>
                <w:sz w:val="20"/>
                <w:szCs w:val="20"/>
              </w:rPr>
              <w:t>roject</w:t>
            </w:r>
            <w:r>
              <w:rPr>
                <w:sz w:val="20"/>
                <w:szCs w:val="20"/>
              </w:rPr>
              <w:t>o</w:t>
            </w:r>
          </w:p>
        </w:tc>
      </w:tr>
      <w:tr w:rsidR="00842D59" w:rsidRPr="006D258D">
        <w:tc>
          <w:tcPr>
            <w:tcW w:w="3510" w:type="dxa"/>
          </w:tcPr>
          <w:p w:rsidR="00842D59" w:rsidRPr="00995CAF" w:rsidRDefault="00842D59" w:rsidP="009A07F3">
            <w:pPr>
              <w:spacing w:before="60" w:after="60"/>
              <w:rPr>
                <w:sz w:val="20"/>
                <w:szCs w:val="20"/>
              </w:rPr>
            </w:pPr>
            <w:r w:rsidRPr="00995CAF">
              <w:rPr>
                <w:sz w:val="20"/>
                <w:szCs w:val="20"/>
              </w:rPr>
              <w:t xml:space="preserve">BIPS – Institute for Epidemiology and Prevention Research GmbH, </w:t>
            </w:r>
            <w:r>
              <w:rPr>
                <w:sz w:val="20"/>
                <w:szCs w:val="20"/>
              </w:rPr>
              <w:t>Alemania</w:t>
            </w:r>
          </w:p>
        </w:tc>
        <w:tc>
          <w:tcPr>
            <w:tcW w:w="2268" w:type="dxa"/>
          </w:tcPr>
          <w:p w:rsidR="00842D59" w:rsidRPr="00995CAF" w:rsidRDefault="00842D59" w:rsidP="009A07F3">
            <w:pPr>
              <w:spacing w:before="60" w:after="60"/>
              <w:rPr>
                <w:sz w:val="20"/>
                <w:szCs w:val="20"/>
              </w:rPr>
            </w:pPr>
            <w:r w:rsidRPr="00995CAF">
              <w:rPr>
                <w:sz w:val="20"/>
                <w:szCs w:val="20"/>
              </w:rPr>
              <w:t>Iris Pigeot</w:t>
            </w:r>
          </w:p>
        </w:tc>
        <w:tc>
          <w:tcPr>
            <w:tcW w:w="2738" w:type="dxa"/>
          </w:tcPr>
          <w:p w:rsidR="00842D59" w:rsidRPr="00995CAF" w:rsidRDefault="00842D59" w:rsidP="009A07F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995CAF">
              <w:rPr>
                <w:sz w:val="20"/>
                <w:szCs w:val="20"/>
              </w:rPr>
              <w:t>ohort</w:t>
            </w:r>
            <w:r>
              <w:rPr>
                <w:sz w:val="20"/>
                <w:szCs w:val="20"/>
              </w:rPr>
              <w:t>e alemana, estadística</w:t>
            </w:r>
          </w:p>
        </w:tc>
      </w:tr>
      <w:tr w:rsidR="00842D59" w:rsidRPr="0070512C">
        <w:tc>
          <w:tcPr>
            <w:tcW w:w="3510" w:type="dxa"/>
          </w:tcPr>
          <w:p w:rsidR="00842D59" w:rsidRPr="00995CAF" w:rsidRDefault="00842D59" w:rsidP="009A07F3">
            <w:pPr>
              <w:spacing w:before="60" w:after="60"/>
              <w:rPr>
                <w:sz w:val="20"/>
                <w:szCs w:val="20"/>
              </w:rPr>
            </w:pPr>
            <w:r w:rsidRPr="00995CAF">
              <w:rPr>
                <w:sz w:val="20"/>
                <w:szCs w:val="20"/>
              </w:rPr>
              <w:t xml:space="preserve">Institute of Food Sciences, </w:t>
            </w:r>
            <w:r>
              <w:rPr>
                <w:sz w:val="20"/>
                <w:szCs w:val="20"/>
              </w:rPr>
              <w:t>National Research Council, Italia</w:t>
            </w:r>
          </w:p>
        </w:tc>
        <w:tc>
          <w:tcPr>
            <w:tcW w:w="2268" w:type="dxa"/>
          </w:tcPr>
          <w:p w:rsidR="00842D59" w:rsidRPr="00995CAF" w:rsidRDefault="00842D59" w:rsidP="009A07F3">
            <w:pPr>
              <w:spacing w:before="60" w:after="60"/>
              <w:rPr>
                <w:sz w:val="20"/>
                <w:szCs w:val="20"/>
              </w:rPr>
            </w:pPr>
            <w:r w:rsidRPr="00995CAF">
              <w:rPr>
                <w:sz w:val="20"/>
                <w:szCs w:val="20"/>
              </w:rPr>
              <w:t>Alfonso Siani</w:t>
            </w:r>
          </w:p>
        </w:tc>
        <w:tc>
          <w:tcPr>
            <w:tcW w:w="2738" w:type="dxa"/>
          </w:tcPr>
          <w:p w:rsidR="00842D59" w:rsidRPr="00CE4220" w:rsidRDefault="00842D59" w:rsidP="009A07F3">
            <w:pPr>
              <w:spacing w:before="60" w:after="60"/>
              <w:rPr>
                <w:sz w:val="20"/>
                <w:szCs w:val="20"/>
                <w:lang w:val="es-ES"/>
              </w:rPr>
            </w:pPr>
            <w:r w:rsidRPr="00CE4220">
              <w:rPr>
                <w:sz w:val="20"/>
                <w:szCs w:val="20"/>
                <w:lang w:val="es-ES"/>
              </w:rPr>
              <w:t>Cohorte itali</w:t>
            </w:r>
            <w:r>
              <w:rPr>
                <w:sz w:val="20"/>
                <w:szCs w:val="20"/>
                <w:lang w:val="es-ES"/>
              </w:rPr>
              <w:t>a</w:t>
            </w:r>
            <w:r w:rsidRPr="00CE4220">
              <w:rPr>
                <w:sz w:val="20"/>
                <w:szCs w:val="20"/>
                <w:lang w:val="es-ES"/>
              </w:rPr>
              <w:t>na y nutrición epidemiológica</w:t>
            </w:r>
          </w:p>
        </w:tc>
      </w:tr>
      <w:tr w:rsidR="00842D59" w:rsidRPr="00CE4220">
        <w:tc>
          <w:tcPr>
            <w:tcW w:w="3510" w:type="dxa"/>
          </w:tcPr>
          <w:p w:rsidR="00842D59" w:rsidRPr="00995CAF" w:rsidRDefault="00842D59" w:rsidP="009A07F3">
            <w:pPr>
              <w:spacing w:before="60" w:after="60"/>
              <w:rPr>
                <w:sz w:val="20"/>
                <w:szCs w:val="20"/>
              </w:rPr>
            </w:pPr>
            <w:r w:rsidRPr="00995CAF">
              <w:rPr>
                <w:sz w:val="20"/>
                <w:szCs w:val="20"/>
              </w:rPr>
              <w:t>Cop</w:t>
            </w:r>
            <w:r>
              <w:rPr>
                <w:sz w:val="20"/>
                <w:szCs w:val="20"/>
              </w:rPr>
              <w:t>enhagen Business School, Dinamarca</w:t>
            </w:r>
          </w:p>
        </w:tc>
        <w:tc>
          <w:tcPr>
            <w:tcW w:w="2268" w:type="dxa"/>
          </w:tcPr>
          <w:p w:rsidR="00842D59" w:rsidRPr="00995CAF" w:rsidRDefault="00842D59" w:rsidP="009A07F3">
            <w:pPr>
              <w:spacing w:before="60" w:after="60"/>
              <w:rPr>
                <w:sz w:val="20"/>
                <w:szCs w:val="20"/>
              </w:rPr>
            </w:pPr>
            <w:r w:rsidRPr="00995CAF">
              <w:rPr>
                <w:sz w:val="20"/>
                <w:szCs w:val="20"/>
              </w:rPr>
              <w:t xml:space="preserve">Lucia Reisch, </w:t>
            </w:r>
            <w:r w:rsidRPr="00995CAF">
              <w:rPr>
                <w:sz w:val="20"/>
                <w:szCs w:val="20"/>
              </w:rPr>
              <w:br/>
              <w:t>Wencke Gwozdz</w:t>
            </w:r>
          </w:p>
        </w:tc>
        <w:tc>
          <w:tcPr>
            <w:tcW w:w="2738" w:type="dxa"/>
          </w:tcPr>
          <w:p w:rsidR="00842D59" w:rsidRPr="00CE4220" w:rsidRDefault="00842D59" w:rsidP="009A07F3">
            <w:pPr>
              <w:spacing w:before="60" w:after="60"/>
              <w:rPr>
                <w:sz w:val="20"/>
                <w:szCs w:val="20"/>
                <w:lang w:val="es-ES"/>
              </w:rPr>
            </w:pPr>
            <w:r w:rsidRPr="00CE4220">
              <w:rPr>
                <w:sz w:val="20"/>
                <w:szCs w:val="20"/>
                <w:lang w:val="es-ES"/>
              </w:rPr>
              <w:t>Comportamiento del consumidor</w:t>
            </w:r>
            <w:r>
              <w:rPr>
                <w:sz w:val="20"/>
                <w:szCs w:val="20"/>
                <w:lang w:val="es-ES"/>
              </w:rPr>
              <w:t xml:space="preserve"> e</w:t>
            </w:r>
            <w:r w:rsidRPr="00CE4220">
              <w:rPr>
                <w:sz w:val="20"/>
                <w:szCs w:val="20"/>
                <w:lang w:val="es-ES"/>
              </w:rPr>
              <w:t xml:space="preserve"> influencias ambientales</w:t>
            </w:r>
          </w:p>
        </w:tc>
      </w:tr>
      <w:tr w:rsidR="00842D59" w:rsidRPr="0070512C">
        <w:tc>
          <w:tcPr>
            <w:tcW w:w="3510" w:type="dxa"/>
          </w:tcPr>
          <w:p w:rsidR="00842D59" w:rsidRPr="00995CAF" w:rsidRDefault="00842D59" w:rsidP="009A07F3">
            <w:pPr>
              <w:spacing w:before="60" w:after="60"/>
              <w:rPr>
                <w:sz w:val="20"/>
                <w:szCs w:val="20"/>
              </w:rPr>
            </w:pPr>
            <w:r w:rsidRPr="00995CAF">
              <w:rPr>
                <w:sz w:val="20"/>
                <w:szCs w:val="20"/>
              </w:rPr>
              <w:t>Univers</w:t>
            </w:r>
            <w:r>
              <w:rPr>
                <w:sz w:val="20"/>
                <w:szCs w:val="20"/>
              </w:rPr>
              <w:t>ity of Lancaster, Reino Unido</w:t>
            </w:r>
          </w:p>
        </w:tc>
        <w:tc>
          <w:tcPr>
            <w:tcW w:w="2268" w:type="dxa"/>
          </w:tcPr>
          <w:p w:rsidR="00842D59" w:rsidRPr="00995CAF" w:rsidRDefault="00842D59" w:rsidP="009A07F3">
            <w:pPr>
              <w:spacing w:before="60" w:after="60"/>
              <w:rPr>
                <w:sz w:val="20"/>
                <w:szCs w:val="20"/>
              </w:rPr>
            </w:pPr>
            <w:r w:rsidRPr="00995CAF">
              <w:rPr>
                <w:sz w:val="20"/>
                <w:szCs w:val="20"/>
              </w:rPr>
              <w:t>Garrath Williams</w:t>
            </w:r>
          </w:p>
        </w:tc>
        <w:tc>
          <w:tcPr>
            <w:tcW w:w="2738" w:type="dxa"/>
          </w:tcPr>
          <w:p w:rsidR="00842D59" w:rsidRPr="00CE4220" w:rsidRDefault="00842D59" w:rsidP="009A07F3">
            <w:pPr>
              <w:spacing w:before="60" w:after="60"/>
              <w:rPr>
                <w:sz w:val="20"/>
                <w:szCs w:val="20"/>
                <w:lang w:val="es-ES"/>
              </w:rPr>
            </w:pPr>
            <w:r w:rsidRPr="00CE4220">
              <w:rPr>
                <w:sz w:val="20"/>
                <w:szCs w:val="20"/>
                <w:lang w:val="es-ES"/>
              </w:rPr>
              <w:t>Ética, política e interacción con grupos sociales de interés.</w:t>
            </w:r>
          </w:p>
        </w:tc>
      </w:tr>
      <w:tr w:rsidR="00842D59" w:rsidRPr="006D258D">
        <w:tc>
          <w:tcPr>
            <w:tcW w:w="3510" w:type="dxa"/>
          </w:tcPr>
          <w:p w:rsidR="00842D59" w:rsidRPr="00995CAF" w:rsidRDefault="00842D59" w:rsidP="009A07F3">
            <w:pPr>
              <w:spacing w:before="60" w:after="60"/>
              <w:rPr>
                <w:sz w:val="20"/>
                <w:szCs w:val="20"/>
              </w:rPr>
            </w:pPr>
            <w:r w:rsidRPr="00995CAF">
              <w:rPr>
                <w:sz w:val="20"/>
                <w:szCs w:val="20"/>
              </w:rPr>
              <w:t xml:space="preserve">Sahlgrenska Academy at the University </w:t>
            </w:r>
            <w:r>
              <w:rPr>
                <w:sz w:val="20"/>
                <w:szCs w:val="20"/>
              </w:rPr>
              <w:t>of Gothenburg, Suecia</w:t>
            </w:r>
          </w:p>
        </w:tc>
        <w:tc>
          <w:tcPr>
            <w:tcW w:w="2268" w:type="dxa"/>
          </w:tcPr>
          <w:p w:rsidR="00842D59" w:rsidRDefault="007911C5" w:rsidP="009A07F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Gabriele Eiben</w:t>
            </w:r>
            <w:r w:rsidR="00842D59" w:rsidRPr="00995CAF">
              <w:rPr>
                <w:sz w:val="20"/>
                <w:szCs w:val="20"/>
              </w:rPr>
              <w:t xml:space="preserve">, </w:t>
            </w:r>
            <w:r w:rsidR="00842D59" w:rsidRPr="00995CAF">
              <w:rPr>
                <w:sz w:val="20"/>
                <w:szCs w:val="20"/>
              </w:rPr>
              <w:br/>
              <w:t>Lauren Lissner</w:t>
            </w:r>
            <w:r>
              <w:rPr>
                <w:sz w:val="20"/>
                <w:szCs w:val="20"/>
              </w:rPr>
              <w:t>,</w:t>
            </w:r>
            <w:bookmarkStart w:id="0" w:name="_GoBack"/>
            <w:bookmarkEnd w:id="0"/>
          </w:p>
          <w:p w:rsidR="007911C5" w:rsidRPr="00995CAF" w:rsidRDefault="007911C5" w:rsidP="009A07F3">
            <w:pPr>
              <w:spacing w:before="60" w:after="60"/>
              <w:rPr>
                <w:sz w:val="20"/>
                <w:szCs w:val="20"/>
              </w:rPr>
            </w:pPr>
            <w:r w:rsidRPr="00995CAF">
              <w:rPr>
                <w:sz w:val="20"/>
                <w:szCs w:val="20"/>
              </w:rPr>
              <w:t>Staffan Mårild</w:t>
            </w:r>
          </w:p>
        </w:tc>
        <w:tc>
          <w:tcPr>
            <w:tcW w:w="2738" w:type="dxa"/>
          </w:tcPr>
          <w:p w:rsidR="00842D59" w:rsidRPr="00995CAF" w:rsidRDefault="00842D59" w:rsidP="009A07F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Cohorte sueca, análisis familiares</w:t>
            </w:r>
          </w:p>
        </w:tc>
      </w:tr>
      <w:tr w:rsidR="00842D59" w:rsidRPr="006D258D">
        <w:tc>
          <w:tcPr>
            <w:tcW w:w="3510" w:type="dxa"/>
          </w:tcPr>
          <w:p w:rsidR="00842D59" w:rsidRPr="00995CAF" w:rsidRDefault="00842D59" w:rsidP="009A07F3">
            <w:pPr>
              <w:spacing w:before="60" w:after="60"/>
              <w:rPr>
                <w:sz w:val="20"/>
                <w:szCs w:val="20"/>
              </w:rPr>
            </w:pPr>
            <w:r w:rsidRPr="00995CAF">
              <w:rPr>
                <w:sz w:val="20"/>
                <w:szCs w:val="20"/>
              </w:rPr>
              <w:t>University of Helsinki, Finland</w:t>
            </w:r>
            <w:r>
              <w:rPr>
                <w:sz w:val="20"/>
                <w:szCs w:val="20"/>
              </w:rPr>
              <w:t>ia</w:t>
            </w:r>
          </w:p>
        </w:tc>
        <w:tc>
          <w:tcPr>
            <w:tcW w:w="2268" w:type="dxa"/>
          </w:tcPr>
          <w:p w:rsidR="00842D59" w:rsidRPr="00995CAF" w:rsidRDefault="00842D59" w:rsidP="009A07F3">
            <w:pPr>
              <w:spacing w:before="60" w:after="60"/>
              <w:rPr>
                <w:sz w:val="20"/>
                <w:szCs w:val="20"/>
              </w:rPr>
            </w:pPr>
            <w:r w:rsidRPr="00995CAF">
              <w:rPr>
                <w:sz w:val="20"/>
                <w:szCs w:val="20"/>
              </w:rPr>
              <w:t>Jaakko Kaprio</w:t>
            </w:r>
          </w:p>
        </w:tc>
        <w:tc>
          <w:tcPr>
            <w:tcW w:w="2738" w:type="dxa"/>
          </w:tcPr>
          <w:p w:rsidR="00842D59" w:rsidRPr="00995CAF" w:rsidRDefault="00842D59" w:rsidP="009A07F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Heredabilidad y modelos geneticos</w:t>
            </w:r>
          </w:p>
        </w:tc>
      </w:tr>
      <w:tr w:rsidR="00842D59" w:rsidRPr="006D258D">
        <w:tc>
          <w:tcPr>
            <w:tcW w:w="3510" w:type="dxa"/>
          </w:tcPr>
          <w:p w:rsidR="00842D59" w:rsidRPr="00995CAF" w:rsidRDefault="00842D59" w:rsidP="009A07F3">
            <w:pPr>
              <w:spacing w:before="60" w:after="60"/>
              <w:rPr>
                <w:sz w:val="20"/>
                <w:szCs w:val="20"/>
              </w:rPr>
            </w:pPr>
            <w:r w:rsidRPr="00995CAF">
              <w:rPr>
                <w:sz w:val="20"/>
                <w:szCs w:val="20"/>
              </w:rPr>
              <w:t>Universit</w:t>
            </w:r>
            <w:r>
              <w:rPr>
                <w:sz w:val="20"/>
                <w:szCs w:val="20"/>
              </w:rPr>
              <w:t>y of the Balearic Islands, España</w:t>
            </w:r>
          </w:p>
        </w:tc>
        <w:tc>
          <w:tcPr>
            <w:tcW w:w="2268" w:type="dxa"/>
          </w:tcPr>
          <w:p w:rsidR="00842D59" w:rsidRPr="00995CAF" w:rsidRDefault="00842D59" w:rsidP="009A07F3">
            <w:pPr>
              <w:spacing w:before="60" w:after="60"/>
              <w:rPr>
                <w:sz w:val="20"/>
                <w:szCs w:val="20"/>
              </w:rPr>
            </w:pPr>
            <w:r w:rsidRPr="00995CAF">
              <w:rPr>
                <w:sz w:val="20"/>
                <w:szCs w:val="20"/>
              </w:rPr>
              <w:t xml:space="preserve">Andreu Palou, </w:t>
            </w:r>
            <w:r w:rsidRPr="00995CAF">
              <w:rPr>
                <w:sz w:val="20"/>
                <w:szCs w:val="20"/>
              </w:rPr>
              <w:br/>
              <w:t>Catalina Picó</w:t>
            </w:r>
          </w:p>
        </w:tc>
        <w:tc>
          <w:tcPr>
            <w:tcW w:w="2738" w:type="dxa"/>
          </w:tcPr>
          <w:p w:rsidR="00842D59" w:rsidRPr="00995CAF" w:rsidRDefault="00842D59" w:rsidP="009A07F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Análisis de expresión génica</w:t>
            </w:r>
          </w:p>
        </w:tc>
      </w:tr>
      <w:tr w:rsidR="00842D59" w:rsidRPr="006D258D">
        <w:tc>
          <w:tcPr>
            <w:tcW w:w="3510" w:type="dxa"/>
          </w:tcPr>
          <w:p w:rsidR="00842D59" w:rsidRPr="00995CAF" w:rsidRDefault="00842D59" w:rsidP="009A07F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Pécs, Hungria</w:t>
            </w:r>
          </w:p>
        </w:tc>
        <w:tc>
          <w:tcPr>
            <w:tcW w:w="2268" w:type="dxa"/>
          </w:tcPr>
          <w:p w:rsidR="00842D59" w:rsidRPr="00995CAF" w:rsidRDefault="00842D59" w:rsidP="009A07F3">
            <w:pPr>
              <w:spacing w:before="60" w:after="60"/>
              <w:rPr>
                <w:sz w:val="20"/>
                <w:szCs w:val="20"/>
              </w:rPr>
            </w:pPr>
            <w:r w:rsidRPr="00995CAF">
              <w:rPr>
                <w:sz w:val="20"/>
                <w:szCs w:val="20"/>
              </w:rPr>
              <w:t>Dénes Molnár</w:t>
            </w:r>
          </w:p>
        </w:tc>
        <w:tc>
          <w:tcPr>
            <w:tcW w:w="2738" w:type="dxa"/>
          </w:tcPr>
          <w:p w:rsidR="00842D59" w:rsidRPr="00995CAF" w:rsidRDefault="00842D59" w:rsidP="009A07F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Cohorte húngara</w:t>
            </w:r>
          </w:p>
        </w:tc>
      </w:tr>
      <w:tr w:rsidR="00842D59" w:rsidRPr="006D258D">
        <w:tc>
          <w:tcPr>
            <w:tcW w:w="3510" w:type="dxa"/>
          </w:tcPr>
          <w:p w:rsidR="00842D59" w:rsidRPr="00995CAF" w:rsidRDefault="00842D59" w:rsidP="009A07F3">
            <w:pPr>
              <w:spacing w:before="60" w:after="60"/>
              <w:rPr>
                <w:sz w:val="20"/>
                <w:szCs w:val="20"/>
              </w:rPr>
            </w:pPr>
            <w:r w:rsidRPr="00995CAF">
              <w:rPr>
                <w:sz w:val="20"/>
                <w:szCs w:val="20"/>
              </w:rPr>
              <w:t xml:space="preserve">Rudolf Magnus Institute </w:t>
            </w:r>
            <w:r>
              <w:rPr>
                <w:sz w:val="20"/>
                <w:szCs w:val="20"/>
              </w:rPr>
              <w:t>of Neuroscience, Holanda</w:t>
            </w:r>
          </w:p>
        </w:tc>
        <w:tc>
          <w:tcPr>
            <w:tcW w:w="2268" w:type="dxa"/>
          </w:tcPr>
          <w:p w:rsidR="00842D59" w:rsidRPr="00995CAF" w:rsidRDefault="00842D59" w:rsidP="009A07F3">
            <w:pPr>
              <w:spacing w:before="60" w:after="60"/>
              <w:rPr>
                <w:sz w:val="20"/>
                <w:szCs w:val="20"/>
              </w:rPr>
            </w:pPr>
            <w:r w:rsidRPr="00995CAF">
              <w:rPr>
                <w:sz w:val="20"/>
                <w:szCs w:val="20"/>
              </w:rPr>
              <w:t>Roger Adan</w:t>
            </w:r>
          </w:p>
        </w:tc>
        <w:tc>
          <w:tcPr>
            <w:tcW w:w="2738" w:type="dxa"/>
          </w:tcPr>
          <w:p w:rsidR="00842D59" w:rsidRPr="00995CAF" w:rsidRDefault="00842D59" w:rsidP="009A07F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Neuroimagen y neuropsicología</w:t>
            </w:r>
          </w:p>
        </w:tc>
      </w:tr>
      <w:tr w:rsidR="00842D59" w:rsidRPr="006D258D">
        <w:tc>
          <w:tcPr>
            <w:tcW w:w="3510" w:type="dxa"/>
          </w:tcPr>
          <w:p w:rsidR="00842D59" w:rsidRPr="00995CAF" w:rsidRDefault="00842D59" w:rsidP="009A07F3">
            <w:pPr>
              <w:spacing w:before="60" w:after="60"/>
              <w:rPr>
                <w:sz w:val="20"/>
                <w:szCs w:val="20"/>
              </w:rPr>
            </w:pPr>
            <w:r w:rsidRPr="00995CAF">
              <w:rPr>
                <w:sz w:val="20"/>
                <w:szCs w:val="20"/>
              </w:rPr>
              <w:t>Research and Education I</w:t>
            </w:r>
            <w:r>
              <w:rPr>
                <w:sz w:val="20"/>
                <w:szCs w:val="20"/>
              </w:rPr>
              <w:t>nstitute of Child Health, Chipre</w:t>
            </w:r>
          </w:p>
        </w:tc>
        <w:tc>
          <w:tcPr>
            <w:tcW w:w="2268" w:type="dxa"/>
          </w:tcPr>
          <w:p w:rsidR="00842D59" w:rsidRPr="00995CAF" w:rsidRDefault="00842D59" w:rsidP="009A07F3">
            <w:pPr>
              <w:spacing w:before="60" w:after="60"/>
              <w:rPr>
                <w:sz w:val="20"/>
                <w:szCs w:val="20"/>
              </w:rPr>
            </w:pPr>
            <w:r w:rsidRPr="00995CAF">
              <w:rPr>
                <w:sz w:val="20"/>
                <w:szCs w:val="20"/>
              </w:rPr>
              <w:t>Michael Tornaritis</w:t>
            </w:r>
          </w:p>
        </w:tc>
        <w:tc>
          <w:tcPr>
            <w:tcW w:w="2738" w:type="dxa"/>
          </w:tcPr>
          <w:p w:rsidR="00842D59" w:rsidRPr="00995CAF" w:rsidRDefault="00842D59" w:rsidP="009A07F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Cohorte chipriota</w:t>
            </w:r>
          </w:p>
        </w:tc>
      </w:tr>
      <w:tr w:rsidR="00842D59" w:rsidRPr="006D258D">
        <w:tc>
          <w:tcPr>
            <w:tcW w:w="3510" w:type="dxa"/>
          </w:tcPr>
          <w:p w:rsidR="00842D59" w:rsidRPr="00995CAF" w:rsidRDefault="00842D59" w:rsidP="009A07F3">
            <w:pPr>
              <w:spacing w:before="60" w:after="60"/>
              <w:rPr>
                <w:sz w:val="20"/>
                <w:szCs w:val="20"/>
              </w:rPr>
            </w:pPr>
            <w:r w:rsidRPr="00995CAF">
              <w:rPr>
                <w:sz w:val="20"/>
                <w:szCs w:val="20"/>
              </w:rPr>
              <w:t>National Institute for Health Development, Estonia</w:t>
            </w:r>
          </w:p>
        </w:tc>
        <w:tc>
          <w:tcPr>
            <w:tcW w:w="2268" w:type="dxa"/>
          </w:tcPr>
          <w:p w:rsidR="00842D59" w:rsidRPr="00995CAF" w:rsidRDefault="00842D59" w:rsidP="009A07F3">
            <w:pPr>
              <w:spacing w:before="60" w:after="60"/>
              <w:rPr>
                <w:sz w:val="20"/>
                <w:szCs w:val="20"/>
              </w:rPr>
            </w:pPr>
            <w:r w:rsidRPr="00995CAF">
              <w:rPr>
                <w:sz w:val="20"/>
                <w:szCs w:val="20"/>
              </w:rPr>
              <w:t>Toomas Veidebaum</w:t>
            </w:r>
          </w:p>
        </w:tc>
        <w:tc>
          <w:tcPr>
            <w:tcW w:w="2738" w:type="dxa"/>
          </w:tcPr>
          <w:p w:rsidR="00842D59" w:rsidRPr="00995CAF" w:rsidRDefault="00842D59" w:rsidP="009A07F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995CAF">
              <w:rPr>
                <w:sz w:val="20"/>
                <w:szCs w:val="20"/>
              </w:rPr>
              <w:t>ohort</w:t>
            </w:r>
            <w:r>
              <w:rPr>
                <w:sz w:val="20"/>
                <w:szCs w:val="20"/>
              </w:rPr>
              <w:t>e de estonia</w:t>
            </w:r>
          </w:p>
        </w:tc>
      </w:tr>
      <w:tr w:rsidR="00842D59" w:rsidRPr="006D258D">
        <w:tc>
          <w:tcPr>
            <w:tcW w:w="3510" w:type="dxa"/>
          </w:tcPr>
          <w:p w:rsidR="00842D59" w:rsidRPr="00CE4220" w:rsidRDefault="00842D59" w:rsidP="009A07F3">
            <w:pPr>
              <w:spacing w:before="60" w:after="60"/>
              <w:rPr>
                <w:sz w:val="20"/>
                <w:szCs w:val="20"/>
                <w:lang w:val="it-IT"/>
              </w:rPr>
            </w:pPr>
            <w:r w:rsidRPr="00995CAF">
              <w:rPr>
                <w:sz w:val="20"/>
                <w:szCs w:val="20"/>
                <w:lang w:val="it-IT"/>
              </w:rPr>
              <w:t>Fondazione IRCCS Istituto Nazionale Tumori</w:t>
            </w:r>
            <w:r w:rsidRPr="00CE4220">
              <w:rPr>
                <w:sz w:val="20"/>
                <w:szCs w:val="20"/>
                <w:lang w:val="it-IT"/>
              </w:rPr>
              <w:t>, Italia</w:t>
            </w:r>
          </w:p>
        </w:tc>
        <w:tc>
          <w:tcPr>
            <w:tcW w:w="2268" w:type="dxa"/>
          </w:tcPr>
          <w:p w:rsidR="00842D59" w:rsidRPr="00995CAF" w:rsidRDefault="00842D59" w:rsidP="009A07F3">
            <w:pPr>
              <w:spacing w:before="60" w:after="60"/>
              <w:rPr>
                <w:sz w:val="20"/>
                <w:szCs w:val="20"/>
              </w:rPr>
            </w:pPr>
            <w:r w:rsidRPr="00995CAF">
              <w:rPr>
                <w:sz w:val="20"/>
                <w:szCs w:val="20"/>
              </w:rPr>
              <w:t>Vittorio Krogh</w:t>
            </w:r>
          </w:p>
        </w:tc>
        <w:tc>
          <w:tcPr>
            <w:tcW w:w="2738" w:type="dxa"/>
          </w:tcPr>
          <w:p w:rsidR="00842D59" w:rsidRPr="00995CAF" w:rsidRDefault="00842D59" w:rsidP="009A07F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Métodos de evaluación dietética</w:t>
            </w:r>
          </w:p>
        </w:tc>
      </w:tr>
      <w:tr w:rsidR="00842D59" w:rsidRPr="0070512C">
        <w:tc>
          <w:tcPr>
            <w:tcW w:w="3510" w:type="dxa"/>
          </w:tcPr>
          <w:p w:rsidR="00842D59" w:rsidRPr="00995CAF" w:rsidRDefault="00842D59" w:rsidP="009A07F3">
            <w:pPr>
              <w:spacing w:before="60" w:after="60"/>
              <w:rPr>
                <w:sz w:val="20"/>
                <w:szCs w:val="20"/>
              </w:rPr>
            </w:pPr>
            <w:r w:rsidRPr="00995CAF">
              <w:rPr>
                <w:sz w:val="20"/>
                <w:szCs w:val="20"/>
              </w:rPr>
              <w:t>Unive</w:t>
            </w:r>
            <w:r>
              <w:rPr>
                <w:sz w:val="20"/>
                <w:szCs w:val="20"/>
              </w:rPr>
              <w:t>rsity of Bristol, Reino Unido</w:t>
            </w:r>
          </w:p>
        </w:tc>
        <w:tc>
          <w:tcPr>
            <w:tcW w:w="2268" w:type="dxa"/>
          </w:tcPr>
          <w:p w:rsidR="00842D59" w:rsidRPr="00995CAF" w:rsidRDefault="00842D59" w:rsidP="009A07F3">
            <w:pPr>
              <w:spacing w:before="60" w:after="60"/>
              <w:rPr>
                <w:sz w:val="20"/>
                <w:szCs w:val="20"/>
              </w:rPr>
            </w:pPr>
            <w:r w:rsidRPr="00995CAF">
              <w:rPr>
                <w:sz w:val="20"/>
                <w:szCs w:val="20"/>
              </w:rPr>
              <w:t xml:space="preserve">Angie Page, </w:t>
            </w:r>
            <w:r w:rsidRPr="00995CAF">
              <w:rPr>
                <w:sz w:val="20"/>
                <w:szCs w:val="20"/>
              </w:rPr>
              <w:br/>
              <w:t>Ashley Cooper</w:t>
            </w:r>
          </w:p>
        </w:tc>
        <w:tc>
          <w:tcPr>
            <w:tcW w:w="2738" w:type="dxa"/>
          </w:tcPr>
          <w:p w:rsidR="00842D59" w:rsidRPr="00CE4220" w:rsidRDefault="00842D59" w:rsidP="009A07F3">
            <w:pPr>
              <w:spacing w:before="60" w:after="60"/>
              <w:rPr>
                <w:sz w:val="20"/>
                <w:szCs w:val="20"/>
                <w:lang w:val="es-ES"/>
              </w:rPr>
            </w:pPr>
            <w:r w:rsidRPr="00CE4220">
              <w:rPr>
                <w:sz w:val="20"/>
                <w:szCs w:val="20"/>
                <w:lang w:val="es-ES"/>
              </w:rPr>
              <w:t>Monitorización de la actividad física</w:t>
            </w:r>
          </w:p>
        </w:tc>
      </w:tr>
      <w:tr w:rsidR="00842D59" w:rsidRPr="006D258D">
        <w:tc>
          <w:tcPr>
            <w:tcW w:w="3510" w:type="dxa"/>
          </w:tcPr>
          <w:p w:rsidR="00842D59" w:rsidRPr="00995CAF" w:rsidRDefault="00842D59" w:rsidP="009A07F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Minerva PRC Ltd, Reino Unido</w:t>
            </w:r>
          </w:p>
        </w:tc>
        <w:tc>
          <w:tcPr>
            <w:tcW w:w="2268" w:type="dxa"/>
          </w:tcPr>
          <w:p w:rsidR="00842D59" w:rsidRPr="00995CAF" w:rsidRDefault="00842D59" w:rsidP="009A07F3">
            <w:pPr>
              <w:spacing w:before="60" w:after="60"/>
              <w:rPr>
                <w:sz w:val="20"/>
                <w:szCs w:val="20"/>
              </w:rPr>
            </w:pPr>
            <w:r w:rsidRPr="00995CAF">
              <w:rPr>
                <w:sz w:val="20"/>
                <w:szCs w:val="20"/>
              </w:rPr>
              <w:t xml:space="preserve">Rhonda Smith, </w:t>
            </w:r>
            <w:r w:rsidRPr="00995CAF">
              <w:rPr>
                <w:sz w:val="20"/>
                <w:szCs w:val="20"/>
              </w:rPr>
              <w:br/>
              <w:t>Marc Catchpole</w:t>
            </w:r>
          </w:p>
        </w:tc>
        <w:tc>
          <w:tcPr>
            <w:tcW w:w="2738" w:type="dxa"/>
          </w:tcPr>
          <w:p w:rsidR="00842D59" w:rsidRPr="00995CAF" w:rsidRDefault="00842D59" w:rsidP="009A07F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Diseminación y comunicación</w:t>
            </w:r>
          </w:p>
        </w:tc>
      </w:tr>
      <w:tr w:rsidR="00842D59" w:rsidRPr="006D258D">
        <w:tc>
          <w:tcPr>
            <w:tcW w:w="3510" w:type="dxa"/>
          </w:tcPr>
          <w:p w:rsidR="00842D59" w:rsidRPr="00995CAF" w:rsidRDefault="00842D59" w:rsidP="009A07F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Zaragoza, España</w:t>
            </w:r>
          </w:p>
        </w:tc>
        <w:tc>
          <w:tcPr>
            <w:tcW w:w="2268" w:type="dxa"/>
          </w:tcPr>
          <w:p w:rsidR="00842D59" w:rsidRPr="00995CAF" w:rsidRDefault="00842D59" w:rsidP="009A07F3">
            <w:pPr>
              <w:spacing w:before="60" w:after="60"/>
              <w:rPr>
                <w:sz w:val="20"/>
                <w:szCs w:val="20"/>
              </w:rPr>
            </w:pPr>
            <w:r w:rsidRPr="00995CAF">
              <w:rPr>
                <w:sz w:val="20"/>
                <w:szCs w:val="20"/>
              </w:rPr>
              <w:t>Luis Moreno</w:t>
            </w:r>
          </w:p>
        </w:tc>
        <w:tc>
          <w:tcPr>
            <w:tcW w:w="2738" w:type="dxa"/>
          </w:tcPr>
          <w:p w:rsidR="00842D59" w:rsidRPr="00995CAF" w:rsidRDefault="00842D59" w:rsidP="009A07F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Cohorte española</w:t>
            </w:r>
          </w:p>
        </w:tc>
      </w:tr>
      <w:tr w:rsidR="00842D59" w:rsidRPr="006D258D">
        <w:tc>
          <w:tcPr>
            <w:tcW w:w="3510" w:type="dxa"/>
          </w:tcPr>
          <w:p w:rsidR="00842D59" w:rsidRPr="00995CAF" w:rsidRDefault="00842D59" w:rsidP="009A07F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Ghent University, Bélgica</w:t>
            </w:r>
          </w:p>
        </w:tc>
        <w:tc>
          <w:tcPr>
            <w:tcW w:w="2268" w:type="dxa"/>
          </w:tcPr>
          <w:p w:rsidR="00842D59" w:rsidRPr="00995CAF" w:rsidRDefault="00842D59" w:rsidP="009A07F3">
            <w:pPr>
              <w:spacing w:before="60" w:after="60"/>
              <w:rPr>
                <w:sz w:val="20"/>
                <w:szCs w:val="20"/>
              </w:rPr>
            </w:pPr>
            <w:r w:rsidRPr="00995CAF">
              <w:rPr>
                <w:sz w:val="20"/>
                <w:szCs w:val="20"/>
              </w:rPr>
              <w:t>Stefaan De Henauw</w:t>
            </w:r>
          </w:p>
        </w:tc>
        <w:tc>
          <w:tcPr>
            <w:tcW w:w="2738" w:type="dxa"/>
          </w:tcPr>
          <w:p w:rsidR="00842D59" w:rsidRPr="00995CAF" w:rsidRDefault="00842D59" w:rsidP="009A07F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Cohorte belga</w:t>
            </w:r>
          </w:p>
        </w:tc>
      </w:tr>
    </w:tbl>
    <w:p w:rsidR="00842D59" w:rsidRDefault="00842D59" w:rsidP="00706E03">
      <w:pPr>
        <w:pStyle w:val="ListParagraph"/>
        <w:shd w:val="clear" w:color="auto" w:fill="FFFFFF"/>
        <w:spacing w:after="0" w:line="240" w:lineRule="auto"/>
        <w:ind w:left="360"/>
        <w:rPr>
          <w:sz w:val="20"/>
          <w:szCs w:val="20"/>
        </w:rPr>
      </w:pPr>
    </w:p>
    <w:p w:rsidR="00842D59" w:rsidRPr="008E76A9" w:rsidRDefault="00842D59" w:rsidP="00706E03">
      <w:pPr>
        <w:pStyle w:val="ListParagraph"/>
        <w:shd w:val="clear" w:color="auto" w:fill="FFFFFF"/>
        <w:spacing w:after="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Notas/Fin</w:t>
      </w:r>
    </w:p>
    <w:sectPr w:rsidR="00842D59" w:rsidRPr="008E76A9" w:rsidSect="000D0509">
      <w:footerReference w:type="default" r:id="rId10"/>
      <w:pgSz w:w="11906" w:h="16838"/>
      <w:pgMar w:top="993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67D" w:rsidRDefault="00E3567D" w:rsidP="00D040BE">
      <w:pPr>
        <w:spacing w:after="0" w:line="240" w:lineRule="auto"/>
      </w:pPr>
      <w:r>
        <w:separator/>
      </w:r>
    </w:p>
  </w:endnote>
  <w:endnote w:type="continuationSeparator" w:id="0">
    <w:p w:rsidR="00E3567D" w:rsidRDefault="00E3567D" w:rsidP="00D04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D59" w:rsidRPr="0070512C" w:rsidRDefault="007911C5" w:rsidP="00221009">
    <w:pPr>
      <w:pStyle w:val="Footer"/>
      <w:pBdr>
        <w:top w:val="thinThickSmallGap" w:sz="24" w:space="1" w:color="622423"/>
      </w:pBdr>
      <w:tabs>
        <w:tab w:val="clear" w:pos="4513"/>
      </w:tabs>
      <w:rPr>
        <w:lang w:val="es-ES"/>
      </w:rPr>
    </w:pPr>
    <w:r>
      <w:rPr>
        <w:b/>
        <w:noProof/>
        <w:sz w:val="28"/>
        <w:szCs w:val="28"/>
        <w:lang w:eastAsia="en-GB"/>
      </w:rPr>
      <w:drawing>
        <wp:inline distT="0" distB="0" distL="0" distR="0">
          <wp:extent cx="336550" cy="336550"/>
          <wp:effectExtent l="0" t="0" r="635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550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42D59" w:rsidRPr="0070512C">
      <w:rPr>
        <w:b/>
        <w:bCs/>
        <w:sz w:val="18"/>
        <w:szCs w:val="18"/>
        <w:lang w:val="es-ES"/>
      </w:rPr>
      <w:t xml:space="preserve">   I.Family está financiado por la CE Proyecto No. 266044, continuación del estudio IDEFICS</w:t>
    </w:r>
    <w:r w:rsidR="00842D59" w:rsidRPr="0070512C">
      <w:rPr>
        <w:b/>
        <w:bCs/>
        <w:sz w:val="18"/>
        <w:szCs w:val="18"/>
        <w:lang w:val="es-ES"/>
      </w:rPr>
      <w:tab/>
      <w:t xml:space="preserve">Pag </w:t>
    </w:r>
    <w:r w:rsidR="00842D59" w:rsidRPr="0070512C">
      <w:rPr>
        <w:b/>
        <w:sz w:val="18"/>
        <w:szCs w:val="18"/>
        <w:lang w:val="es-ES"/>
      </w:rPr>
      <w:fldChar w:fldCharType="begin"/>
    </w:r>
    <w:r w:rsidR="00842D59" w:rsidRPr="0070512C">
      <w:rPr>
        <w:b/>
        <w:sz w:val="18"/>
        <w:szCs w:val="18"/>
        <w:lang w:val="es-ES"/>
      </w:rPr>
      <w:instrText xml:space="preserve"> PAGE   \* MERGEFORMAT </w:instrText>
    </w:r>
    <w:r w:rsidR="00842D59" w:rsidRPr="0070512C">
      <w:rPr>
        <w:b/>
        <w:sz w:val="18"/>
        <w:szCs w:val="18"/>
        <w:lang w:val="es-ES"/>
      </w:rPr>
      <w:fldChar w:fldCharType="separate"/>
    </w:r>
    <w:r>
      <w:rPr>
        <w:b/>
        <w:noProof/>
        <w:sz w:val="18"/>
        <w:szCs w:val="18"/>
        <w:lang w:val="es-ES"/>
      </w:rPr>
      <w:t>3</w:t>
    </w:r>
    <w:r w:rsidR="00842D59" w:rsidRPr="0070512C">
      <w:rPr>
        <w:b/>
        <w:sz w:val="18"/>
        <w:szCs w:val="18"/>
        <w:lang w:val="es-ES"/>
      </w:rPr>
      <w:fldChar w:fldCharType="end"/>
    </w:r>
  </w:p>
  <w:p w:rsidR="00842D59" w:rsidRPr="0070512C" w:rsidRDefault="00842D59">
    <w:pPr>
      <w:pStyle w:val="Footer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67D" w:rsidRDefault="00E3567D" w:rsidP="00D040BE">
      <w:pPr>
        <w:spacing w:after="0" w:line="240" w:lineRule="auto"/>
      </w:pPr>
      <w:r>
        <w:separator/>
      </w:r>
    </w:p>
  </w:footnote>
  <w:footnote w:type="continuationSeparator" w:id="0">
    <w:p w:rsidR="00E3567D" w:rsidRDefault="00E3567D" w:rsidP="00D04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C56DD"/>
    <w:multiLevelType w:val="hybridMultilevel"/>
    <w:tmpl w:val="1612FDBE"/>
    <w:lvl w:ilvl="0" w:tplc="910640B6">
      <w:start w:val="1"/>
      <w:numFmt w:val="decimal"/>
      <w:lvlText w:val="(%1)"/>
      <w:lvlJc w:val="left"/>
      <w:pPr>
        <w:ind w:left="144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2BC02B5E"/>
    <w:multiLevelType w:val="hybridMultilevel"/>
    <w:tmpl w:val="2160E506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37BC5C80"/>
    <w:multiLevelType w:val="multilevel"/>
    <w:tmpl w:val="C6DC7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D34052"/>
    <w:multiLevelType w:val="hybridMultilevel"/>
    <w:tmpl w:val="C6369B14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773F7595"/>
    <w:multiLevelType w:val="hybridMultilevel"/>
    <w:tmpl w:val="62D4C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C59"/>
    <w:rsid w:val="00095906"/>
    <w:rsid w:val="00096668"/>
    <w:rsid w:val="000B6BA6"/>
    <w:rsid w:val="000C134A"/>
    <w:rsid w:val="000D0509"/>
    <w:rsid w:val="000D5136"/>
    <w:rsid w:val="000D6B56"/>
    <w:rsid w:val="000F3FC5"/>
    <w:rsid w:val="001017CF"/>
    <w:rsid w:val="00177469"/>
    <w:rsid w:val="001F582B"/>
    <w:rsid w:val="00204796"/>
    <w:rsid w:val="00221009"/>
    <w:rsid w:val="00254F00"/>
    <w:rsid w:val="002645D5"/>
    <w:rsid w:val="00267CCD"/>
    <w:rsid w:val="002A2A44"/>
    <w:rsid w:val="002F62AE"/>
    <w:rsid w:val="00317E86"/>
    <w:rsid w:val="00324AE4"/>
    <w:rsid w:val="00347C02"/>
    <w:rsid w:val="00377639"/>
    <w:rsid w:val="003C556D"/>
    <w:rsid w:val="004172C6"/>
    <w:rsid w:val="00420D44"/>
    <w:rsid w:val="004B4C32"/>
    <w:rsid w:val="005172C5"/>
    <w:rsid w:val="0055446C"/>
    <w:rsid w:val="00564E4A"/>
    <w:rsid w:val="00565FE4"/>
    <w:rsid w:val="005974FE"/>
    <w:rsid w:val="005A4261"/>
    <w:rsid w:val="005D33E4"/>
    <w:rsid w:val="00624D03"/>
    <w:rsid w:val="00633E52"/>
    <w:rsid w:val="006512B6"/>
    <w:rsid w:val="00671599"/>
    <w:rsid w:val="006A6A1E"/>
    <w:rsid w:val="006D258D"/>
    <w:rsid w:val="006E135C"/>
    <w:rsid w:val="006E6138"/>
    <w:rsid w:val="006F1788"/>
    <w:rsid w:val="006F237A"/>
    <w:rsid w:val="0070512C"/>
    <w:rsid w:val="00706E03"/>
    <w:rsid w:val="007278C1"/>
    <w:rsid w:val="0074400E"/>
    <w:rsid w:val="00771C64"/>
    <w:rsid w:val="007911C5"/>
    <w:rsid w:val="007C2F66"/>
    <w:rsid w:val="007D34F5"/>
    <w:rsid w:val="00842D59"/>
    <w:rsid w:val="008D4A84"/>
    <w:rsid w:val="008E76A9"/>
    <w:rsid w:val="009067C7"/>
    <w:rsid w:val="00974B50"/>
    <w:rsid w:val="00975D19"/>
    <w:rsid w:val="00995CAF"/>
    <w:rsid w:val="00997605"/>
    <w:rsid w:val="009A07F3"/>
    <w:rsid w:val="009A39E8"/>
    <w:rsid w:val="009C0AF2"/>
    <w:rsid w:val="009C37FB"/>
    <w:rsid w:val="009F60F5"/>
    <w:rsid w:val="00A2110B"/>
    <w:rsid w:val="00A51AFC"/>
    <w:rsid w:val="00A6292B"/>
    <w:rsid w:val="00A8481E"/>
    <w:rsid w:val="00A96467"/>
    <w:rsid w:val="00AA59A1"/>
    <w:rsid w:val="00AB2C97"/>
    <w:rsid w:val="00B05C59"/>
    <w:rsid w:val="00B36B74"/>
    <w:rsid w:val="00B904E7"/>
    <w:rsid w:val="00BB6D02"/>
    <w:rsid w:val="00BC60D0"/>
    <w:rsid w:val="00C366DC"/>
    <w:rsid w:val="00C81E1A"/>
    <w:rsid w:val="00CC724F"/>
    <w:rsid w:val="00CE4220"/>
    <w:rsid w:val="00CE6471"/>
    <w:rsid w:val="00D040BE"/>
    <w:rsid w:val="00D41C4A"/>
    <w:rsid w:val="00D8512E"/>
    <w:rsid w:val="00DA6AB9"/>
    <w:rsid w:val="00DB1063"/>
    <w:rsid w:val="00DC7556"/>
    <w:rsid w:val="00DD5C24"/>
    <w:rsid w:val="00E234D7"/>
    <w:rsid w:val="00E3567D"/>
    <w:rsid w:val="00E434ED"/>
    <w:rsid w:val="00E713CC"/>
    <w:rsid w:val="00E870D7"/>
    <w:rsid w:val="00EF2770"/>
    <w:rsid w:val="00F22FC7"/>
    <w:rsid w:val="00F47C53"/>
    <w:rsid w:val="00FB2AFB"/>
    <w:rsid w:val="00FC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467"/>
    <w:pPr>
      <w:spacing w:after="200" w:line="276" w:lineRule="auto"/>
    </w:pPr>
    <w:rPr>
      <w:rFonts w:cs="Calibri"/>
      <w:sz w:val="22"/>
      <w:szCs w:val="22"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0C134A"/>
    <w:pPr>
      <w:keepNext/>
      <w:tabs>
        <w:tab w:val="left" w:pos="567"/>
      </w:tabs>
      <w:spacing w:after="360" w:line="240" w:lineRule="auto"/>
      <w:jc w:val="both"/>
      <w:outlineLvl w:val="2"/>
    </w:pPr>
    <w:rPr>
      <w:rFonts w:ascii="Gill Sans MT" w:eastAsia="Times New Roman" w:hAnsi="Gill Sans MT" w:cs="Times New Roman"/>
      <w:b/>
      <w:iCs/>
      <w:color w:val="808285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locked/>
    <w:rsid w:val="000C134A"/>
    <w:rPr>
      <w:rFonts w:ascii="Gill Sans MT" w:hAnsi="Gill Sans MT" w:cs="Times New Roman"/>
      <w:b/>
      <w:iCs/>
      <w:color w:val="808285"/>
      <w:sz w:val="28"/>
      <w:szCs w:val="28"/>
      <w:lang w:val="en-GB" w:eastAsia="en-US"/>
    </w:rPr>
  </w:style>
  <w:style w:type="character" w:styleId="Hyperlink">
    <w:name w:val="Hyperlink"/>
    <w:uiPriority w:val="99"/>
    <w:semiHidden/>
    <w:rsid w:val="00D040BE"/>
    <w:rPr>
      <w:rFonts w:cs="Times New Roman"/>
      <w:color w:val="auto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04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040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040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D040B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040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D040BE"/>
    <w:rPr>
      <w:rFonts w:cs="Times New Roman"/>
    </w:rPr>
  </w:style>
  <w:style w:type="character" w:styleId="Emphasis">
    <w:name w:val="Emphasis"/>
    <w:uiPriority w:val="99"/>
    <w:qFormat/>
    <w:rsid w:val="009C37FB"/>
    <w:rPr>
      <w:rFonts w:cs="Times New Roman"/>
      <w:i/>
      <w:iCs/>
    </w:rPr>
  </w:style>
  <w:style w:type="character" w:styleId="Strong">
    <w:name w:val="Strong"/>
    <w:uiPriority w:val="99"/>
    <w:qFormat/>
    <w:rsid w:val="00997605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420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">
    <w:name w:val="st"/>
    <w:uiPriority w:val="99"/>
    <w:rsid w:val="00347C02"/>
  </w:style>
  <w:style w:type="paragraph" w:styleId="ListParagraph">
    <w:name w:val="List Paragraph"/>
    <w:basedOn w:val="Normal"/>
    <w:uiPriority w:val="99"/>
    <w:qFormat/>
    <w:rsid w:val="009A39E8"/>
    <w:pPr>
      <w:ind w:left="720"/>
    </w:pPr>
  </w:style>
  <w:style w:type="character" w:customStyle="1" w:styleId="body">
    <w:name w:val="body"/>
    <w:uiPriority w:val="99"/>
    <w:rsid w:val="000C134A"/>
  </w:style>
  <w:style w:type="paragraph" w:customStyle="1" w:styleId="Numberedheadings">
    <w:name w:val="Numbered headings"/>
    <w:basedOn w:val="Normal"/>
    <w:uiPriority w:val="99"/>
    <w:rsid w:val="000C134A"/>
    <w:pPr>
      <w:keepNext/>
      <w:tabs>
        <w:tab w:val="left" w:pos="567"/>
      </w:tabs>
      <w:spacing w:before="240" w:after="240" w:line="240" w:lineRule="auto"/>
      <w:ind w:left="567" w:hanging="567"/>
      <w:jc w:val="both"/>
    </w:pPr>
    <w:rPr>
      <w:rFonts w:cs="Times New Roman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467"/>
    <w:pPr>
      <w:spacing w:after="200" w:line="276" w:lineRule="auto"/>
    </w:pPr>
    <w:rPr>
      <w:rFonts w:cs="Calibri"/>
      <w:sz w:val="22"/>
      <w:szCs w:val="22"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0C134A"/>
    <w:pPr>
      <w:keepNext/>
      <w:tabs>
        <w:tab w:val="left" w:pos="567"/>
      </w:tabs>
      <w:spacing w:after="360" w:line="240" w:lineRule="auto"/>
      <w:jc w:val="both"/>
      <w:outlineLvl w:val="2"/>
    </w:pPr>
    <w:rPr>
      <w:rFonts w:ascii="Gill Sans MT" w:eastAsia="Times New Roman" w:hAnsi="Gill Sans MT" w:cs="Times New Roman"/>
      <w:b/>
      <w:iCs/>
      <w:color w:val="808285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locked/>
    <w:rsid w:val="000C134A"/>
    <w:rPr>
      <w:rFonts w:ascii="Gill Sans MT" w:hAnsi="Gill Sans MT" w:cs="Times New Roman"/>
      <w:b/>
      <w:iCs/>
      <w:color w:val="808285"/>
      <w:sz w:val="28"/>
      <w:szCs w:val="28"/>
      <w:lang w:val="en-GB" w:eastAsia="en-US"/>
    </w:rPr>
  </w:style>
  <w:style w:type="character" w:styleId="Hyperlink">
    <w:name w:val="Hyperlink"/>
    <w:uiPriority w:val="99"/>
    <w:semiHidden/>
    <w:rsid w:val="00D040BE"/>
    <w:rPr>
      <w:rFonts w:cs="Times New Roman"/>
      <w:color w:val="auto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04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040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040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D040B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040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D040BE"/>
    <w:rPr>
      <w:rFonts w:cs="Times New Roman"/>
    </w:rPr>
  </w:style>
  <w:style w:type="character" w:styleId="Emphasis">
    <w:name w:val="Emphasis"/>
    <w:uiPriority w:val="99"/>
    <w:qFormat/>
    <w:rsid w:val="009C37FB"/>
    <w:rPr>
      <w:rFonts w:cs="Times New Roman"/>
      <w:i/>
      <w:iCs/>
    </w:rPr>
  </w:style>
  <w:style w:type="character" w:styleId="Strong">
    <w:name w:val="Strong"/>
    <w:uiPriority w:val="99"/>
    <w:qFormat/>
    <w:rsid w:val="00997605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420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">
    <w:name w:val="st"/>
    <w:uiPriority w:val="99"/>
    <w:rsid w:val="00347C02"/>
  </w:style>
  <w:style w:type="paragraph" w:styleId="ListParagraph">
    <w:name w:val="List Paragraph"/>
    <w:basedOn w:val="Normal"/>
    <w:uiPriority w:val="99"/>
    <w:qFormat/>
    <w:rsid w:val="009A39E8"/>
    <w:pPr>
      <w:ind w:left="720"/>
    </w:pPr>
  </w:style>
  <w:style w:type="character" w:customStyle="1" w:styleId="body">
    <w:name w:val="body"/>
    <w:uiPriority w:val="99"/>
    <w:rsid w:val="000C134A"/>
  </w:style>
  <w:style w:type="paragraph" w:customStyle="1" w:styleId="Numberedheadings">
    <w:name w:val="Numbered headings"/>
    <w:basedOn w:val="Normal"/>
    <w:uiPriority w:val="99"/>
    <w:rsid w:val="000C134A"/>
    <w:pPr>
      <w:keepNext/>
      <w:tabs>
        <w:tab w:val="left" w:pos="567"/>
      </w:tabs>
      <w:spacing w:before="240" w:after="240" w:line="240" w:lineRule="auto"/>
      <w:ind w:left="567" w:hanging="567"/>
      <w:jc w:val="both"/>
    </w:pPr>
    <w:rPr>
      <w:rFonts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78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3778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8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83779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783783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8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78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8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78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familystudy.e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953</Words>
  <Characters>5438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10Media Information</vt:lpstr>
      <vt:lpstr>10Media Information</vt:lpstr>
    </vt:vector>
  </TitlesOfParts>
  <Company>Microsoft</Company>
  <LinksUpToDate>false</LinksUpToDate>
  <CharactersWithSpaces>6379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10Media Information</dc:title>
  <dc:creator>Rhonda</dc:creator>
  <cp:lastModifiedBy> </cp:lastModifiedBy>
  <cp:revision>2</cp:revision>
  <cp:lastPrinted>2012-07-10T13:54:00Z</cp:lastPrinted>
  <dcterms:created xsi:type="dcterms:W3CDTF">2012-11-22T05:45:00Z</dcterms:created>
  <dcterms:modified xsi:type="dcterms:W3CDTF">2012-11-22T05:45:00Z</dcterms:modified>
</cp:coreProperties>
</file>