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2" w:rsidRPr="008F7EA5" w:rsidRDefault="00347C02" w:rsidP="009C37FB">
      <w:pPr>
        <w:rPr>
          <w:rStyle w:val="Emphasis"/>
          <w:b/>
          <w:bCs/>
          <w:i w:val="0"/>
          <w:sz w:val="20"/>
          <w:szCs w:val="2"/>
          <w:lang w:val="el-GR"/>
        </w:rPr>
      </w:pPr>
      <w:bookmarkStart w:id="0" w:name="_GoBack"/>
      <w:bookmarkEnd w:id="0"/>
      <w:r>
        <w:rPr>
          <w:b/>
          <w:bCs/>
          <w:i/>
          <w:iCs/>
          <w:noProof/>
          <w:sz w:val="2"/>
          <w:szCs w:val="2"/>
          <w:lang w:eastAsia="en-GB"/>
        </w:rPr>
        <w:drawing>
          <wp:inline distT="0" distB="0" distL="0" distR="0">
            <wp:extent cx="1739900" cy="685800"/>
            <wp:effectExtent l="0" t="0" r="0" b="0"/>
            <wp:docPr id="12" name="Picture 12" descr="P:\IFamily\Artwork\i.family(AW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IFamily\Artwork\i.family(AW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EA5">
        <w:rPr>
          <w:rStyle w:val="Emphasis"/>
          <w:b/>
          <w:bCs/>
          <w:sz w:val="2"/>
          <w:szCs w:val="2"/>
          <w:lang w:val="el-GR"/>
        </w:rPr>
        <w:t xml:space="preserve">                                               </w:t>
      </w:r>
      <w:r w:rsidRPr="008F7EA5">
        <w:rPr>
          <w:rStyle w:val="Emphasis"/>
          <w:b/>
          <w:bCs/>
          <w:sz w:val="28"/>
          <w:szCs w:val="2"/>
          <w:lang w:val="el-GR"/>
        </w:rPr>
        <w:t xml:space="preserve">     </w:t>
      </w:r>
      <w:r w:rsidR="00AA7BC3">
        <w:rPr>
          <w:rStyle w:val="Emphasis"/>
          <w:b/>
          <w:bCs/>
          <w:i w:val="0"/>
          <w:sz w:val="32"/>
          <w:szCs w:val="2"/>
          <w:lang w:val="el-GR"/>
        </w:rPr>
        <w:t>ΜΕΣΑ</w:t>
      </w:r>
      <w:r w:rsidR="00AA7BC3" w:rsidRPr="008F7EA5">
        <w:rPr>
          <w:rStyle w:val="Emphasis"/>
          <w:b/>
          <w:bCs/>
          <w:i w:val="0"/>
          <w:sz w:val="32"/>
          <w:szCs w:val="2"/>
          <w:lang w:val="el-GR"/>
        </w:rPr>
        <w:t xml:space="preserve"> </w:t>
      </w:r>
      <w:r w:rsidR="00AA7BC3">
        <w:rPr>
          <w:rStyle w:val="Emphasis"/>
          <w:b/>
          <w:bCs/>
          <w:i w:val="0"/>
          <w:sz w:val="32"/>
          <w:szCs w:val="2"/>
          <w:lang w:val="el-GR"/>
        </w:rPr>
        <w:t>ΕΝΗΜΕΡΩΣΗΣ</w:t>
      </w:r>
      <w:r w:rsidRPr="008F7EA5">
        <w:rPr>
          <w:rStyle w:val="Emphasis"/>
          <w:b/>
          <w:bCs/>
          <w:i w:val="0"/>
          <w:sz w:val="32"/>
          <w:szCs w:val="2"/>
          <w:lang w:val="el-GR"/>
        </w:rPr>
        <w:t xml:space="preserve">       </w:t>
      </w:r>
      <w:hyperlink r:id="rId10" w:history="1">
        <w:r w:rsidRPr="007278C1">
          <w:rPr>
            <w:rStyle w:val="Hyperlink"/>
            <w:b/>
            <w:bCs/>
            <w:sz w:val="20"/>
            <w:szCs w:val="2"/>
            <w:lang w:val="en-US"/>
          </w:rPr>
          <w:t>www</w:t>
        </w:r>
        <w:r w:rsidRPr="008F7EA5">
          <w:rPr>
            <w:rStyle w:val="Hyperlink"/>
            <w:b/>
            <w:bCs/>
            <w:sz w:val="20"/>
            <w:szCs w:val="2"/>
            <w:lang w:val="el-GR"/>
          </w:rPr>
          <w:t>.</w:t>
        </w:r>
        <w:r w:rsidRPr="007278C1">
          <w:rPr>
            <w:rStyle w:val="Hyperlink"/>
            <w:b/>
            <w:bCs/>
            <w:sz w:val="20"/>
            <w:szCs w:val="2"/>
            <w:lang w:val="en-US"/>
          </w:rPr>
          <w:t>ifamilystudy</w:t>
        </w:r>
        <w:r w:rsidRPr="008F7EA5">
          <w:rPr>
            <w:rStyle w:val="Hyperlink"/>
            <w:b/>
            <w:bCs/>
            <w:sz w:val="20"/>
            <w:szCs w:val="2"/>
            <w:lang w:val="el-GR"/>
          </w:rPr>
          <w:t>.</w:t>
        </w:r>
        <w:r w:rsidRPr="007278C1">
          <w:rPr>
            <w:rStyle w:val="Hyperlink"/>
            <w:b/>
            <w:bCs/>
            <w:sz w:val="20"/>
            <w:szCs w:val="2"/>
            <w:lang w:val="en-US"/>
          </w:rPr>
          <w:t>eu</w:t>
        </w:r>
      </w:hyperlink>
      <w:r w:rsidRPr="008F7EA5">
        <w:rPr>
          <w:rStyle w:val="Emphasis"/>
          <w:b/>
          <w:bCs/>
          <w:i w:val="0"/>
          <w:sz w:val="20"/>
          <w:szCs w:val="2"/>
          <w:lang w:val="el-GR"/>
        </w:rPr>
        <w:t xml:space="preserve"> </w:t>
      </w:r>
    </w:p>
    <w:p w:rsidR="00347C02" w:rsidRPr="00AA7BC3" w:rsidRDefault="00AA7BC3" w:rsidP="009C37FB">
      <w:pPr>
        <w:rPr>
          <w:rStyle w:val="Emphasis"/>
          <w:i w:val="0"/>
          <w:iCs w:val="0"/>
          <w:sz w:val="18"/>
          <w:szCs w:val="18"/>
          <w:lang w:val="el-GR"/>
        </w:rPr>
      </w:pPr>
      <w:r>
        <w:rPr>
          <w:rStyle w:val="Emphasis"/>
          <w:b/>
          <w:bCs/>
          <w:sz w:val="18"/>
          <w:szCs w:val="18"/>
          <w:lang w:val="el-GR"/>
        </w:rPr>
        <w:t>Εξετάζοντας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τους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παράγοντες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που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καθορίζουν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τη διατροφή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, </w:t>
      </w:r>
      <w:r>
        <w:rPr>
          <w:rStyle w:val="Emphasis"/>
          <w:b/>
          <w:bCs/>
          <w:sz w:val="18"/>
          <w:szCs w:val="18"/>
          <w:lang w:val="el-GR"/>
        </w:rPr>
        <w:t>τον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τρόπο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ζωής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και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την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υγεία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παιδιών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, </w:t>
      </w:r>
      <w:r>
        <w:rPr>
          <w:rStyle w:val="Emphasis"/>
          <w:b/>
          <w:bCs/>
          <w:sz w:val="18"/>
          <w:szCs w:val="18"/>
          <w:lang w:val="el-GR"/>
        </w:rPr>
        <w:t>εφήβων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και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γονιών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στην</w:t>
      </w:r>
      <w:r w:rsidRPr="00AA7BC3">
        <w:rPr>
          <w:rStyle w:val="Emphasis"/>
          <w:b/>
          <w:bCs/>
          <w:sz w:val="18"/>
          <w:szCs w:val="18"/>
          <w:lang w:val="el-GR"/>
        </w:rPr>
        <w:t xml:space="preserve"> </w:t>
      </w:r>
      <w:r>
        <w:rPr>
          <w:rStyle w:val="Emphasis"/>
          <w:b/>
          <w:bCs/>
          <w:sz w:val="18"/>
          <w:szCs w:val="18"/>
          <w:lang w:val="el-GR"/>
        </w:rPr>
        <w:t>Ευρώπη</w:t>
      </w:r>
      <w:r w:rsidR="00347C02" w:rsidRPr="00AA7BC3">
        <w:rPr>
          <w:sz w:val="18"/>
          <w:szCs w:val="18"/>
          <w:lang w:val="el-GR"/>
        </w:rPr>
        <w:t xml:space="preserve"> </w:t>
      </w:r>
      <w:r w:rsidR="00347C02" w:rsidRPr="00AA7BC3">
        <w:rPr>
          <w:rStyle w:val="Emphasis"/>
          <w:b/>
          <w:bCs/>
          <w:i w:val="0"/>
          <w:sz w:val="28"/>
          <w:szCs w:val="2"/>
          <w:lang w:val="el-GR"/>
        </w:rPr>
        <w:t>______________________________________________________________</w:t>
      </w:r>
    </w:p>
    <w:p w:rsidR="009C0AF2" w:rsidRPr="00AA7BC3" w:rsidRDefault="00AA7BC3" w:rsidP="007D34F5">
      <w:pPr>
        <w:shd w:val="clear" w:color="auto" w:fill="FFFFFF"/>
        <w:spacing w:after="0" w:line="240" w:lineRule="auto"/>
        <w:rPr>
          <w:rFonts w:ascii="Verdana" w:hAnsi="Verdana" w:cs="Verdana"/>
          <w:color w:val="333333"/>
          <w:sz w:val="18"/>
          <w:szCs w:val="18"/>
          <w:lang w:val="el-GR" w:eastAsia="en-GB"/>
        </w:rPr>
      </w:pPr>
      <w:r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 xml:space="preserve">Εκδόθηκε την </w:t>
      </w:r>
      <w:r w:rsidR="00177469" w:rsidRPr="00AA7BC3"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>18</w:t>
      </w:r>
      <w:r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>η</w:t>
      </w:r>
      <w:r w:rsidR="00177469" w:rsidRPr="00AA7BC3"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 xml:space="preserve"> </w:t>
      </w:r>
      <w:r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>Οκτωβρίου</w:t>
      </w:r>
      <w:r w:rsidR="009A39E8" w:rsidRPr="00AA7BC3"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 xml:space="preserve"> </w:t>
      </w:r>
      <w:r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 xml:space="preserve">του </w:t>
      </w:r>
      <w:r w:rsidR="00177469" w:rsidRPr="00AA7BC3"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 xml:space="preserve">2012                                    </w:t>
      </w:r>
      <w:r w:rsidR="00347C02" w:rsidRPr="00AA7BC3">
        <w:rPr>
          <w:rFonts w:ascii="Verdana" w:hAnsi="Verdana" w:cs="Verdana"/>
          <w:color w:val="333333"/>
          <w:sz w:val="18"/>
          <w:szCs w:val="18"/>
          <w:lang w:val="el-GR" w:eastAsia="en-GB"/>
        </w:rPr>
        <w:t xml:space="preserve"> </w:t>
      </w:r>
      <w:r w:rsidR="00177469" w:rsidRPr="00AA7BC3">
        <w:rPr>
          <w:rFonts w:ascii="Verdana" w:hAnsi="Verdana" w:cs="Verdana"/>
          <w:color w:val="333333"/>
          <w:sz w:val="18"/>
          <w:szCs w:val="18"/>
          <w:lang w:val="el-GR" w:eastAsia="en-GB"/>
        </w:rPr>
        <w:t xml:space="preserve">       </w:t>
      </w:r>
      <w:r>
        <w:rPr>
          <w:rFonts w:ascii="Verdana" w:hAnsi="Verdana" w:cs="Verdana"/>
          <w:b/>
          <w:bCs/>
          <w:color w:val="333333"/>
          <w:sz w:val="18"/>
          <w:szCs w:val="18"/>
          <w:lang w:val="el-GR" w:eastAsia="en-GB"/>
        </w:rPr>
        <w:t>Για άμεση δημοσίευση</w:t>
      </w:r>
    </w:p>
    <w:p w:rsidR="009C0AF2" w:rsidRPr="00AA7BC3" w:rsidRDefault="009C0AF2" w:rsidP="007D34F5">
      <w:pPr>
        <w:shd w:val="clear" w:color="auto" w:fill="FFFFFF"/>
        <w:spacing w:after="0" w:line="240" w:lineRule="auto"/>
        <w:rPr>
          <w:rFonts w:ascii="Verdana" w:hAnsi="Verdana" w:cs="Verdana"/>
          <w:color w:val="333333"/>
          <w:sz w:val="18"/>
          <w:szCs w:val="18"/>
          <w:lang w:val="el-GR" w:eastAsia="en-GB"/>
        </w:rPr>
      </w:pPr>
    </w:p>
    <w:p w:rsidR="009C0AF2" w:rsidRPr="00AA7BC3" w:rsidRDefault="009C0AF2" w:rsidP="007D34F5">
      <w:pPr>
        <w:shd w:val="clear" w:color="auto" w:fill="FFFFFF"/>
        <w:spacing w:after="0" w:line="240" w:lineRule="auto"/>
        <w:rPr>
          <w:rFonts w:ascii="Verdana" w:hAnsi="Verdana" w:cs="Verdana"/>
          <w:b/>
          <w:bCs/>
          <w:color w:val="333333"/>
          <w:sz w:val="4"/>
          <w:szCs w:val="24"/>
          <w:lang w:val="el-GR" w:eastAsia="en-GB"/>
        </w:rPr>
      </w:pPr>
    </w:p>
    <w:p w:rsidR="001017CF" w:rsidRPr="00C1418F" w:rsidRDefault="005B7642" w:rsidP="00C1418F">
      <w:pPr>
        <w:rPr>
          <w:b/>
          <w:lang w:val="el-GR"/>
        </w:rPr>
      </w:pPr>
      <w:r>
        <w:rPr>
          <w:b/>
          <w:lang w:val="el-GR"/>
        </w:rPr>
        <w:t>Η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ΟΙΚΟΓΕΝΕΙΑ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ΠΑΙΖΕΙ</w:t>
      </w:r>
      <w:r w:rsidR="00892D2F" w:rsidRPr="00892D2F">
        <w:rPr>
          <w:b/>
          <w:lang w:val="el-GR"/>
        </w:rPr>
        <w:t xml:space="preserve"> </w:t>
      </w:r>
      <w:r w:rsidR="00892D2F">
        <w:rPr>
          <w:b/>
          <w:lang w:val="el-GR"/>
        </w:rPr>
        <w:t>ΣΗΜΑΝΤΙΚΟ ΡΟΛΟ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ΣΤΟ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ΝΑ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ΔΙΑΤΗΡΗΣΟΥΝ</w:t>
      </w:r>
      <w:r w:rsidR="00AA7BC3" w:rsidRPr="00AA7BC3">
        <w:rPr>
          <w:b/>
          <w:lang w:val="el-GR"/>
        </w:rPr>
        <w:t xml:space="preserve"> </w:t>
      </w:r>
      <w:r w:rsidR="00AA7BC3">
        <w:rPr>
          <w:b/>
          <w:lang w:val="el-GR"/>
        </w:rPr>
        <w:t>ΟΙ</w:t>
      </w:r>
      <w:r w:rsidR="00DD5C24" w:rsidRPr="00AA7BC3">
        <w:rPr>
          <w:b/>
          <w:lang w:val="el-GR"/>
        </w:rPr>
        <w:t xml:space="preserve"> </w:t>
      </w:r>
      <w:r w:rsidR="00AA59A1" w:rsidRPr="005B7642">
        <w:rPr>
          <w:b/>
          <w:i/>
        </w:rPr>
        <w:t>TWEENS</w:t>
      </w:r>
      <w:r w:rsidR="00AA7BC3">
        <w:rPr>
          <w:b/>
          <w:lang w:val="el-GR"/>
        </w:rPr>
        <w:t xml:space="preserve"> ΕΝΑ ΥΓΙΕΣ ΒΑΡΟΣ;</w:t>
      </w:r>
      <w:r w:rsidR="00AA59A1" w:rsidRPr="00AA7BC3">
        <w:rPr>
          <w:b/>
          <w:sz w:val="24"/>
          <w:lang w:val="el-GR"/>
        </w:rPr>
        <w:br/>
      </w:r>
      <w:r>
        <w:rPr>
          <w:b/>
          <w:lang w:val="el-GR"/>
        </w:rPr>
        <w:t>Το ερευνητικό πρόγραμμα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</w:rPr>
        <w:t>I</w:t>
      </w:r>
      <w:r w:rsidR="00FB5C02" w:rsidRPr="00C1418F">
        <w:rPr>
          <w:b/>
          <w:lang w:val="el-GR"/>
        </w:rPr>
        <w:t>.</w:t>
      </w:r>
      <w:r w:rsidR="00FB5C02">
        <w:rPr>
          <w:b/>
        </w:rPr>
        <w:t>Family</w:t>
      </w:r>
      <w:r>
        <w:rPr>
          <w:b/>
          <w:lang w:val="el-GR"/>
        </w:rPr>
        <w:t xml:space="preserve"> που </w:t>
      </w:r>
      <w:r w:rsidR="00204099">
        <w:rPr>
          <w:b/>
          <w:lang w:val="el-GR"/>
        </w:rPr>
        <w:t>διεξάγεται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σε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οκτώ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διαφορετικές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χώρες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της</w:t>
      </w:r>
      <w:r w:rsidR="00FB5C02" w:rsidRPr="00C1418F">
        <w:rPr>
          <w:b/>
          <w:lang w:val="el-GR"/>
        </w:rPr>
        <w:t xml:space="preserve"> </w:t>
      </w:r>
      <w:r w:rsidR="00FB5C02">
        <w:rPr>
          <w:b/>
          <w:lang w:val="el-GR"/>
        </w:rPr>
        <w:t>Ευρώπης</w:t>
      </w:r>
      <w:r w:rsidR="00204099">
        <w:rPr>
          <w:b/>
          <w:lang w:val="el-GR"/>
        </w:rPr>
        <w:t>,</w:t>
      </w:r>
      <w:r w:rsidR="00FB5C02" w:rsidRPr="00C1418F">
        <w:rPr>
          <w:b/>
          <w:lang w:val="el-GR"/>
        </w:rPr>
        <w:t xml:space="preserve"> </w:t>
      </w:r>
      <w:r w:rsidR="00C1418F">
        <w:rPr>
          <w:b/>
          <w:lang w:val="el-GR"/>
        </w:rPr>
        <w:t>χτίζοντας μια ομάδα</w:t>
      </w:r>
      <w:r w:rsidR="001F582B" w:rsidRPr="00C1418F">
        <w:rPr>
          <w:b/>
          <w:lang w:val="el-GR"/>
        </w:rPr>
        <w:t xml:space="preserve"> </w:t>
      </w:r>
      <w:r w:rsidR="00C1418F">
        <w:rPr>
          <w:b/>
          <w:lang w:val="el-GR"/>
        </w:rPr>
        <w:t xml:space="preserve">που ξεπερνά τις </w:t>
      </w:r>
      <w:r w:rsidR="001017CF" w:rsidRPr="00C1418F">
        <w:rPr>
          <w:b/>
          <w:lang w:val="el-GR"/>
        </w:rPr>
        <w:t xml:space="preserve">16,000 </w:t>
      </w:r>
      <w:r w:rsidR="00204099">
        <w:rPr>
          <w:b/>
          <w:lang w:val="el-GR"/>
        </w:rPr>
        <w:t>παιδιά, προσπαθεί να δώσει απαντήσεις σε αυτή</w:t>
      </w:r>
      <w:r w:rsidR="00C1418F">
        <w:rPr>
          <w:b/>
          <w:lang w:val="el-GR"/>
        </w:rPr>
        <w:t xml:space="preserve"> την ερώτηση.</w:t>
      </w:r>
      <w:r w:rsidR="00633E52" w:rsidRPr="00C1418F">
        <w:rPr>
          <w:b/>
          <w:lang w:val="el-GR"/>
        </w:rPr>
        <w:t xml:space="preserve"> </w:t>
      </w:r>
    </w:p>
    <w:p w:rsidR="00DD5C24" w:rsidRPr="00C1418F" w:rsidRDefault="00C1418F" w:rsidP="00DD5C24">
      <w:pPr>
        <w:rPr>
          <w:lang w:val="el-GR"/>
        </w:rPr>
      </w:pPr>
      <w:r>
        <w:rPr>
          <w:lang w:val="el-GR"/>
        </w:rPr>
        <w:t>Η</w:t>
      </w:r>
      <w:r w:rsidRPr="00C1418F">
        <w:rPr>
          <w:lang w:val="el-GR"/>
        </w:rPr>
        <w:t xml:space="preserve"> </w:t>
      </w:r>
      <w:r w:rsidR="00204099">
        <w:rPr>
          <w:lang w:val="el-GR"/>
        </w:rPr>
        <w:t>έρευνα του</w:t>
      </w:r>
      <w:r w:rsidRPr="00C1418F">
        <w:rPr>
          <w:lang w:val="el-GR"/>
        </w:rPr>
        <w:t xml:space="preserve"> </w:t>
      </w:r>
      <w:r>
        <w:t>IDEFICS</w:t>
      </w:r>
      <w:r w:rsidR="00DD5C24" w:rsidRPr="00C1418F">
        <w:rPr>
          <w:lang w:val="el-GR"/>
        </w:rPr>
        <w:t xml:space="preserve"> </w:t>
      </w:r>
      <w:r>
        <w:rPr>
          <w:lang w:val="el-GR"/>
        </w:rPr>
        <w:t>έχει</w:t>
      </w:r>
      <w:r w:rsidRPr="00C1418F">
        <w:rPr>
          <w:lang w:val="el-GR"/>
        </w:rPr>
        <w:t xml:space="preserve"> </w:t>
      </w:r>
      <w:r>
        <w:rPr>
          <w:lang w:val="el-GR"/>
        </w:rPr>
        <w:t>δείξει</w:t>
      </w:r>
      <w:r w:rsidRPr="00C1418F">
        <w:rPr>
          <w:lang w:val="el-GR"/>
        </w:rPr>
        <w:t xml:space="preserve"> </w:t>
      </w:r>
      <w:r>
        <w:rPr>
          <w:lang w:val="el-GR"/>
        </w:rPr>
        <w:t>ότι</w:t>
      </w:r>
      <w:r w:rsidRPr="00C1418F">
        <w:rPr>
          <w:lang w:val="el-GR"/>
        </w:rPr>
        <w:t xml:space="preserve"> </w:t>
      </w:r>
      <w:r>
        <w:rPr>
          <w:lang w:val="el-GR"/>
        </w:rPr>
        <w:t>παιδιά</w:t>
      </w:r>
      <w:r w:rsidRPr="00C1418F">
        <w:rPr>
          <w:lang w:val="el-GR"/>
        </w:rPr>
        <w:t xml:space="preserve"> </w:t>
      </w:r>
      <w:r>
        <w:rPr>
          <w:lang w:val="el-GR"/>
        </w:rPr>
        <w:t>κάτω</w:t>
      </w:r>
      <w:r w:rsidRPr="00C1418F">
        <w:rPr>
          <w:lang w:val="el-GR"/>
        </w:rPr>
        <w:t xml:space="preserve"> </w:t>
      </w:r>
      <w:r>
        <w:rPr>
          <w:lang w:val="el-GR"/>
        </w:rPr>
        <w:t>των</w:t>
      </w:r>
      <w:r w:rsidRPr="00C1418F">
        <w:rPr>
          <w:lang w:val="el-GR"/>
        </w:rPr>
        <w:t xml:space="preserve"> </w:t>
      </w:r>
      <w:r>
        <w:rPr>
          <w:lang w:val="el-GR"/>
        </w:rPr>
        <w:t>δέκα</w:t>
      </w:r>
      <w:r w:rsidRPr="00C1418F">
        <w:rPr>
          <w:lang w:val="el-GR"/>
        </w:rPr>
        <w:t xml:space="preserve"> </w:t>
      </w:r>
      <w:r>
        <w:rPr>
          <w:lang w:val="el-GR"/>
        </w:rPr>
        <w:t>χρονών</w:t>
      </w:r>
      <w:r w:rsidRPr="00C1418F">
        <w:rPr>
          <w:lang w:val="el-GR"/>
        </w:rPr>
        <w:t xml:space="preserve">, </w:t>
      </w:r>
      <w:r>
        <w:rPr>
          <w:lang w:val="el-GR"/>
        </w:rPr>
        <w:t>τα</w:t>
      </w:r>
      <w:r w:rsidRPr="00C1418F">
        <w:rPr>
          <w:lang w:val="el-GR"/>
        </w:rPr>
        <w:t xml:space="preserve"> </w:t>
      </w:r>
      <w:r>
        <w:rPr>
          <w:lang w:val="el-GR"/>
        </w:rPr>
        <w:t>οποία</w:t>
      </w:r>
      <w:r w:rsidRPr="00C1418F">
        <w:rPr>
          <w:lang w:val="el-GR"/>
        </w:rPr>
        <w:t xml:space="preserve"> </w:t>
      </w:r>
      <w:r>
        <w:rPr>
          <w:lang w:val="el-GR"/>
        </w:rPr>
        <w:t>τρώνε</w:t>
      </w:r>
      <w:r w:rsidR="00BA637E">
        <w:rPr>
          <w:lang w:val="el-GR"/>
        </w:rPr>
        <w:t xml:space="preserve"> </w:t>
      </w:r>
      <w:r w:rsidR="00204099">
        <w:rPr>
          <w:lang w:val="el-GR"/>
        </w:rPr>
        <w:t xml:space="preserve">τακτικά </w:t>
      </w:r>
      <w:r w:rsidR="005B7642">
        <w:rPr>
          <w:lang w:val="el-GR"/>
        </w:rPr>
        <w:t xml:space="preserve">με την </w:t>
      </w:r>
      <w:r w:rsidR="00BA637E">
        <w:rPr>
          <w:lang w:val="el-GR"/>
        </w:rPr>
        <w:t>οικογένεια</w:t>
      </w:r>
      <w:r w:rsidR="00DD5C24" w:rsidRPr="00C1418F">
        <w:rPr>
          <w:lang w:val="el-GR"/>
        </w:rPr>
        <w:t xml:space="preserve">, </w:t>
      </w:r>
      <w:r w:rsidR="005B7642">
        <w:rPr>
          <w:lang w:val="el-GR"/>
        </w:rPr>
        <w:t>τυγχάνουν</w:t>
      </w:r>
      <w:r>
        <w:rPr>
          <w:lang w:val="el-GR"/>
        </w:rPr>
        <w:t xml:space="preserve"> οικογενειακή</w:t>
      </w:r>
      <w:r w:rsidR="005B7642">
        <w:rPr>
          <w:lang w:val="el-GR"/>
        </w:rPr>
        <w:t>ς θαλπωρής</w:t>
      </w:r>
      <w:r w:rsidR="00DD5C24" w:rsidRPr="00C1418F">
        <w:rPr>
          <w:lang w:val="el-GR"/>
        </w:rPr>
        <w:t xml:space="preserve"> </w:t>
      </w:r>
      <w:r>
        <w:rPr>
          <w:lang w:val="el-GR"/>
        </w:rPr>
        <w:t xml:space="preserve">και </w:t>
      </w:r>
      <w:r w:rsidR="00BA637E">
        <w:rPr>
          <w:lang w:val="el-GR"/>
        </w:rPr>
        <w:t>διατηρούν</w:t>
      </w:r>
      <w:r>
        <w:rPr>
          <w:lang w:val="el-GR"/>
        </w:rPr>
        <w:t xml:space="preserve"> ένα α</w:t>
      </w:r>
      <w:r w:rsidR="005B7642">
        <w:rPr>
          <w:lang w:val="el-GR"/>
        </w:rPr>
        <w:t xml:space="preserve">ίσθημα ευεξίας, </w:t>
      </w:r>
      <w:r w:rsidR="00BA637E">
        <w:rPr>
          <w:lang w:val="el-GR"/>
        </w:rPr>
        <w:t>αντιμετωπίζουν 50% λιγότερες πιθανότητες να γίνουν υπέρβαρα ή παχύσαρκα.</w:t>
      </w:r>
      <w:r>
        <w:rPr>
          <w:lang w:val="el-GR"/>
        </w:rPr>
        <w:t xml:space="preserve"> </w:t>
      </w:r>
      <w:r w:rsidR="00DD5C24" w:rsidRPr="00C1418F">
        <w:rPr>
          <w:lang w:val="el-GR"/>
        </w:rPr>
        <w:t xml:space="preserve"> </w:t>
      </w:r>
    </w:p>
    <w:p w:rsidR="00AA59A1" w:rsidRPr="00BA637E" w:rsidRDefault="00BA637E" w:rsidP="00DD5C24">
      <w:pPr>
        <w:rPr>
          <w:lang w:val="el-GR"/>
        </w:rPr>
      </w:pPr>
      <w:r>
        <w:rPr>
          <w:lang w:val="el-GR"/>
        </w:rPr>
        <w:t>Αυτά</w:t>
      </w:r>
      <w:r w:rsidRPr="00BA637E">
        <w:rPr>
          <w:lang w:val="el-GR"/>
        </w:rPr>
        <w:t xml:space="preserve"> </w:t>
      </w:r>
      <w:r>
        <w:rPr>
          <w:lang w:val="el-GR"/>
        </w:rPr>
        <w:t>τα</w:t>
      </w:r>
      <w:r w:rsidRPr="00BA637E">
        <w:rPr>
          <w:lang w:val="el-GR"/>
        </w:rPr>
        <w:t xml:space="preserve"> </w:t>
      </w:r>
      <w:r>
        <w:rPr>
          <w:lang w:val="el-GR"/>
        </w:rPr>
        <w:t>σημαντικά</w:t>
      </w:r>
      <w:r w:rsidRPr="00BA637E">
        <w:rPr>
          <w:lang w:val="el-GR"/>
        </w:rPr>
        <w:t xml:space="preserve"> </w:t>
      </w:r>
      <w:r>
        <w:rPr>
          <w:lang w:val="el-GR"/>
        </w:rPr>
        <w:t>ευρήματα</w:t>
      </w:r>
      <w:r w:rsidRPr="00BA637E">
        <w:rPr>
          <w:lang w:val="el-GR"/>
        </w:rPr>
        <w:t xml:space="preserve"> </w:t>
      </w:r>
      <w:r>
        <w:rPr>
          <w:lang w:val="el-GR"/>
        </w:rPr>
        <w:t>από</w:t>
      </w:r>
      <w:r w:rsidRPr="00BA637E">
        <w:rPr>
          <w:lang w:val="el-GR"/>
        </w:rPr>
        <w:t xml:space="preserve"> </w:t>
      </w:r>
      <w:r>
        <w:rPr>
          <w:lang w:val="el-GR"/>
        </w:rPr>
        <w:t>τη</w:t>
      </w:r>
      <w:r w:rsidRPr="00BA637E">
        <w:rPr>
          <w:lang w:val="el-GR"/>
        </w:rPr>
        <w:t xml:space="preserve"> </w:t>
      </w:r>
      <w:r>
        <w:rPr>
          <w:lang w:val="el-GR"/>
        </w:rPr>
        <w:t>μελέτη</w:t>
      </w:r>
      <w:r w:rsidR="00204099">
        <w:rPr>
          <w:lang w:val="el-GR"/>
        </w:rPr>
        <w:t xml:space="preserve"> του</w:t>
      </w:r>
      <w:r w:rsidRPr="00BA637E">
        <w:rPr>
          <w:lang w:val="el-GR"/>
        </w:rPr>
        <w:t xml:space="preserve"> </w:t>
      </w:r>
      <w:r>
        <w:t>IDEFICS</w:t>
      </w:r>
      <w:r w:rsidR="00204099">
        <w:rPr>
          <w:lang w:val="el-GR"/>
        </w:rPr>
        <w:t>,</w:t>
      </w:r>
      <w:r w:rsidR="00DD5C24" w:rsidRPr="00BA637E">
        <w:rPr>
          <w:lang w:val="el-GR"/>
        </w:rPr>
        <w:t xml:space="preserve"> </w:t>
      </w:r>
      <w:r>
        <w:rPr>
          <w:lang w:val="el-GR"/>
        </w:rPr>
        <w:t>τα</w:t>
      </w:r>
      <w:r w:rsidRPr="00BA637E">
        <w:rPr>
          <w:lang w:val="el-GR"/>
        </w:rPr>
        <w:t xml:space="preserve"> </w:t>
      </w:r>
      <w:r>
        <w:rPr>
          <w:lang w:val="el-GR"/>
        </w:rPr>
        <w:t>οποία</w:t>
      </w:r>
      <w:r w:rsidRPr="00BA637E">
        <w:rPr>
          <w:lang w:val="el-GR"/>
        </w:rPr>
        <w:t xml:space="preserve"> </w:t>
      </w:r>
      <w:r>
        <w:rPr>
          <w:lang w:val="el-GR"/>
        </w:rPr>
        <w:t>εστιάζουν</w:t>
      </w:r>
      <w:r w:rsidRPr="00BA637E">
        <w:rPr>
          <w:lang w:val="el-GR"/>
        </w:rPr>
        <w:t xml:space="preserve"> </w:t>
      </w:r>
      <w:r>
        <w:rPr>
          <w:lang w:val="el-GR"/>
        </w:rPr>
        <w:t>στην</w:t>
      </w:r>
      <w:r w:rsidRPr="00BA637E">
        <w:rPr>
          <w:lang w:val="el-GR"/>
        </w:rPr>
        <w:t xml:space="preserve"> </w:t>
      </w:r>
      <w:r>
        <w:rPr>
          <w:lang w:val="el-GR"/>
        </w:rPr>
        <w:t>οικογενειακή</w:t>
      </w:r>
      <w:r w:rsidRPr="00BA637E">
        <w:rPr>
          <w:lang w:val="el-GR"/>
        </w:rPr>
        <w:t xml:space="preserve"> </w:t>
      </w:r>
      <w:r>
        <w:rPr>
          <w:lang w:val="el-GR"/>
        </w:rPr>
        <w:t>ζωή</w:t>
      </w:r>
      <w:r w:rsidR="00E912B9">
        <w:rPr>
          <w:lang w:val="el-GR"/>
        </w:rPr>
        <w:t>,</w:t>
      </w:r>
      <w:r w:rsidR="00204099">
        <w:rPr>
          <w:lang w:val="el-GR"/>
        </w:rPr>
        <w:t xml:space="preserve"> αναφέρθηκαν</w:t>
      </w:r>
      <w:r>
        <w:rPr>
          <w:lang w:val="el-GR"/>
        </w:rPr>
        <w:t xml:space="preserve"> σήμερα</w:t>
      </w:r>
      <w:r w:rsidR="00DD5C24" w:rsidRPr="00BA637E">
        <w:rPr>
          <w:lang w:val="el-GR"/>
        </w:rPr>
        <w:t xml:space="preserve"> (18 </w:t>
      </w:r>
      <w:r>
        <w:rPr>
          <w:lang w:val="el-GR"/>
        </w:rPr>
        <w:t>Οκτωβρίου του</w:t>
      </w:r>
      <w:r w:rsidR="00DD5C24" w:rsidRPr="00BA637E">
        <w:rPr>
          <w:lang w:val="el-GR"/>
        </w:rPr>
        <w:t xml:space="preserve"> 2012)</w:t>
      </w:r>
      <w:r>
        <w:rPr>
          <w:lang w:val="el-GR"/>
        </w:rPr>
        <w:t xml:space="preserve"> στο Συνέδριο</w:t>
      </w:r>
      <w:r w:rsidR="00204099">
        <w:rPr>
          <w:lang w:val="el-GR"/>
        </w:rPr>
        <w:t xml:space="preserve"> του Ευρωπαϊκού Ομίλου για την Παιδική Π</w:t>
      </w:r>
      <w:r>
        <w:rPr>
          <w:lang w:val="el-GR"/>
        </w:rPr>
        <w:t>αχυσαρκία</w:t>
      </w:r>
      <w:r w:rsidR="00DD5C24" w:rsidRPr="00BA637E">
        <w:rPr>
          <w:lang w:val="el-GR"/>
        </w:rPr>
        <w:t xml:space="preserve"> (</w:t>
      </w:r>
      <w:r w:rsidR="00DD5C24">
        <w:t>ECOG</w:t>
      </w:r>
      <w:r w:rsidR="00DD5C24" w:rsidRPr="00BA637E">
        <w:rPr>
          <w:lang w:val="el-GR"/>
        </w:rPr>
        <w:t>)</w:t>
      </w:r>
      <w:r w:rsidR="00E912B9">
        <w:rPr>
          <w:lang w:val="el-GR"/>
        </w:rPr>
        <w:t>,</w:t>
      </w:r>
      <w:r w:rsidR="00DD5C24" w:rsidRPr="00BA637E">
        <w:rPr>
          <w:lang w:val="el-GR"/>
        </w:rPr>
        <w:t xml:space="preserve">  </w:t>
      </w:r>
      <w:r>
        <w:rPr>
          <w:lang w:val="el-GR"/>
        </w:rPr>
        <w:t>στην</w:t>
      </w:r>
      <w:r w:rsidR="00DD5C24" w:rsidRPr="00BA637E">
        <w:rPr>
          <w:lang w:val="el-GR"/>
        </w:rPr>
        <w:t xml:space="preserve"> </w:t>
      </w:r>
      <w:r w:rsidR="00B36B74">
        <w:t>Palma</w:t>
      </w:r>
      <w:r w:rsidR="00B36B74" w:rsidRPr="00BA637E">
        <w:rPr>
          <w:lang w:val="el-GR"/>
        </w:rPr>
        <w:t xml:space="preserve"> </w:t>
      </w:r>
      <w:r>
        <w:rPr>
          <w:lang w:val="el-GR"/>
        </w:rPr>
        <w:t>της</w:t>
      </w:r>
      <w:r w:rsidR="00B36B74" w:rsidRPr="00BA637E">
        <w:rPr>
          <w:lang w:val="el-GR"/>
        </w:rPr>
        <w:t xml:space="preserve"> </w:t>
      </w:r>
      <w:r w:rsidR="00B36B74">
        <w:t>Majorca</w:t>
      </w:r>
      <w:r w:rsidR="00AA59A1" w:rsidRPr="00BA637E">
        <w:rPr>
          <w:lang w:val="el-GR"/>
        </w:rPr>
        <w:t>.</w:t>
      </w:r>
    </w:p>
    <w:p w:rsidR="00DD5C24" w:rsidRPr="00E912B9" w:rsidRDefault="005B7642" w:rsidP="00DD5C24">
      <w:pPr>
        <w:rPr>
          <w:lang w:val="el-GR"/>
        </w:rPr>
      </w:pPr>
      <w:r>
        <w:rPr>
          <w:lang w:val="el-GR"/>
        </w:rPr>
        <w:t>Οι πιθανότητες να αποκτήσει περιττό βάρος ένα παιδί μειώνονται, αν το οικογενειακό περιβάλλον του παρέχει τη σημασία που χρειάζεται, και το αίσθημα της θαλπωρής.</w:t>
      </w:r>
      <w:r w:rsidR="00E912B9" w:rsidRPr="00E912B9">
        <w:rPr>
          <w:lang w:val="el-GR"/>
        </w:rPr>
        <w:t xml:space="preserve"> </w:t>
      </w:r>
      <w:r>
        <w:rPr>
          <w:lang w:val="el-GR"/>
        </w:rPr>
        <w:t xml:space="preserve">Ωστόσο, αυτό ισχύει </w:t>
      </w:r>
      <w:r w:rsidR="00E912B9">
        <w:rPr>
          <w:lang w:val="el-GR"/>
        </w:rPr>
        <w:t>όταν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τα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παιδιά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αρχίσουν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να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μπαίνουν</w:t>
      </w:r>
      <w:r w:rsidR="00E912B9" w:rsidRPr="00E912B9">
        <w:rPr>
          <w:lang w:val="el-GR"/>
        </w:rPr>
        <w:t xml:space="preserve"> </w:t>
      </w:r>
      <w:r w:rsidR="00204099">
        <w:rPr>
          <w:lang w:val="el-GR"/>
        </w:rPr>
        <w:t xml:space="preserve">και </w:t>
      </w:r>
      <w:r w:rsidR="00E912B9">
        <w:rPr>
          <w:lang w:val="el-GR"/>
        </w:rPr>
        <w:t>στα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χρόνια</w:t>
      </w:r>
      <w:r>
        <w:rPr>
          <w:lang w:val="el-GR"/>
        </w:rPr>
        <w:t xml:space="preserve"> </w:t>
      </w:r>
      <w:r w:rsidR="00E912B9" w:rsidRPr="005B7642">
        <w:rPr>
          <w:i/>
          <w:lang w:val="en-US"/>
        </w:rPr>
        <w:t>tween</w:t>
      </w:r>
      <w:r w:rsidR="00E912B9" w:rsidRPr="00E912B9">
        <w:rPr>
          <w:lang w:val="el-GR"/>
        </w:rPr>
        <w:t>;</w:t>
      </w:r>
      <w:r w:rsidR="00204099">
        <w:rPr>
          <w:lang w:val="el-GR"/>
        </w:rPr>
        <w:t xml:space="preserve"> Δ</w:t>
      </w:r>
      <w:r>
        <w:rPr>
          <w:lang w:val="el-GR"/>
        </w:rPr>
        <w:t>ηλαδή, σ</w:t>
      </w:r>
      <w:r w:rsidR="00E912B9">
        <w:rPr>
          <w:lang w:val="el-GR"/>
        </w:rPr>
        <w:t>τα χρόνια που δεν είναι ούτε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π</w:t>
      </w:r>
      <w:r>
        <w:rPr>
          <w:lang w:val="el-GR"/>
        </w:rPr>
        <w:t>αιδιά, αλλά ούτε ακόμα</w:t>
      </w:r>
      <w:r w:rsidR="00204099">
        <w:rPr>
          <w:lang w:val="el-GR"/>
        </w:rPr>
        <w:t xml:space="preserve"> έφηβοι –</w:t>
      </w:r>
      <w:r w:rsidR="00AA59A1" w:rsidRPr="00E912B9">
        <w:rPr>
          <w:lang w:val="el-GR"/>
        </w:rPr>
        <w:t xml:space="preserve"> </w:t>
      </w:r>
      <w:r w:rsidR="00E912B9">
        <w:rPr>
          <w:lang w:val="el-GR"/>
        </w:rPr>
        <w:t>μια περίοδος όπου οι εξωτερικές επιδράσεις αρ</w:t>
      </w:r>
      <w:r>
        <w:rPr>
          <w:lang w:val="el-GR"/>
        </w:rPr>
        <w:t>χίζουν να μπαίνουν στο παιχνίδι.</w:t>
      </w:r>
      <w:r w:rsidR="00AA59A1" w:rsidRPr="00E912B9">
        <w:rPr>
          <w:lang w:val="el-GR"/>
        </w:rPr>
        <w:t xml:space="preserve"> </w:t>
      </w:r>
      <w:r w:rsidR="00E912B9">
        <w:rPr>
          <w:lang w:val="el-GR"/>
        </w:rPr>
        <w:t>Αυτή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είναι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μια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από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τις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καίριες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ερωτήσεις</w:t>
      </w:r>
      <w:r w:rsidR="00E912B9" w:rsidRPr="00E912B9">
        <w:rPr>
          <w:lang w:val="el-GR"/>
        </w:rPr>
        <w:t xml:space="preserve"> </w:t>
      </w:r>
      <w:r w:rsidR="00E912B9">
        <w:rPr>
          <w:lang w:val="el-GR"/>
        </w:rPr>
        <w:t>που</w:t>
      </w:r>
      <w:r w:rsidR="00E912B9" w:rsidRPr="00E912B9">
        <w:rPr>
          <w:lang w:val="el-GR"/>
        </w:rPr>
        <w:t xml:space="preserve"> </w:t>
      </w:r>
      <w:r>
        <w:rPr>
          <w:lang w:val="el-GR"/>
        </w:rPr>
        <w:t>απασχολούν το ερευνητικό πρόγραμμα</w:t>
      </w:r>
      <w:r w:rsidR="00B36B74" w:rsidRPr="00E912B9">
        <w:rPr>
          <w:lang w:val="el-GR"/>
        </w:rPr>
        <w:t xml:space="preserve"> </w:t>
      </w:r>
      <w:r w:rsidR="00B36B74">
        <w:t>I</w:t>
      </w:r>
      <w:r w:rsidR="00B36B74" w:rsidRPr="00E912B9">
        <w:rPr>
          <w:lang w:val="el-GR"/>
        </w:rPr>
        <w:t>.</w:t>
      </w:r>
      <w:r w:rsidR="00B36B74">
        <w:t>Family</w:t>
      </w:r>
      <w:r w:rsidR="00E912B9">
        <w:rPr>
          <w:lang w:val="el-GR"/>
        </w:rPr>
        <w:t>.</w:t>
      </w:r>
    </w:p>
    <w:p w:rsidR="00204099" w:rsidRDefault="00E912B9" w:rsidP="00DD5C24">
      <w:pPr>
        <w:rPr>
          <w:lang w:val="el-GR"/>
        </w:rPr>
      </w:pPr>
      <w:r>
        <w:rPr>
          <w:lang w:val="el-GR"/>
        </w:rPr>
        <w:t>Η</w:t>
      </w:r>
      <w:r w:rsidRPr="00E912B9">
        <w:rPr>
          <w:lang w:val="el-GR"/>
        </w:rPr>
        <w:t xml:space="preserve"> </w:t>
      </w:r>
      <w:r w:rsidR="00DD5C24">
        <w:t>Iris</w:t>
      </w:r>
      <w:r w:rsidR="00DD5C24" w:rsidRPr="00E912B9">
        <w:rPr>
          <w:lang w:val="el-GR"/>
        </w:rPr>
        <w:t xml:space="preserve"> </w:t>
      </w:r>
      <w:r w:rsidR="00DD5C24">
        <w:t>Pigeot</w:t>
      </w:r>
      <w:r w:rsidR="00DD5C24" w:rsidRPr="00E912B9">
        <w:rPr>
          <w:lang w:val="el-GR"/>
        </w:rPr>
        <w:t xml:space="preserve">, </w:t>
      </w:r>
      <w:r>
        <w:rPr>
          <w:lang w:val="el-GR"/>
        </w:rPr>
        <w:t>Αναπληρώτρια</w:t>
      </w:r>
      <w:r w:rsidRPr="00E912B9">
        <w:rPr>
          <w:lang w:val="el-GR"/>
        </w:rPr>
        <w:t xml:space="preserve"> </w:t>
      </w:r>
      <w:r>
        <w:rPr>
          <w:lang w:val="el-GR"/>
        </w:rPr>
        <w:t>Συντονίστρια</w:t>
      </w:r>
      <w:r w:rsidRPr="00E912B9">
        <w:rPr>
          <w:lang w:val="el-GR"/>
        </w:rPr>
        <w:t xml:space="preserve">, </w:t>
      </w:r>
      <w:r>
        <w:rPr>
          <w:lang w:val="el-GR"/>
        </w:rPr>
        <w:t>τόσο</w:t>
      </w:r>
      <w:r w:rsidRPr="00E912B9">
        <w:rPr>
          <w:lang w:val="el-GR"/>
        </w:rPr>
        <w:t xml:space="preserve"> </w:t>
      </w:r>
      <w:r>
        <w:rPr>
          <w:lang w:val="el-GR"/>
        </w:rPr>
        <w:t>του</w:t>
      </w:r>
      <w:r w:rsidR="00633E52" w:rsidRPr="00E912B9">
        <w:rPr>
          <w:lang w:val="el-GR"/>
        </w:rPr>
        <w:t xml:space="preserve"> </w:t>
      </w:r>
      <w:r w:rsidR="00633E52">
        <w:t>IDEFICS</w:t>
      </w:r>
      <w:r w:rsidR="00633E52" w:rsidRPr="00E912B9">
        <w:rPr>
          <w:lang w:val="el-GR"/>
        </w:rPr>
        <w:t xml:space="preserve"> </w:t>
      </w:r>
      <w:r>
        <w:rPr>
          <w:lang w:val="el-GR"/>
        </w:rPr>
        <w:t>όσο</w:t>
      </w:r>
      <w:r w:rsidRPr="00E912B9">
        <w:rPr>
          <w:lang w:val="el-GR"/>
        </w:rPr>
        <w:t xml:space="preserve"> </w:t>
      </w:r>
      <w:r>
        <w:rPr>
          <w:lang w:val="el-GR"/>
        </w:rPr>
        <w:t>και</w:t>
      </w:r>
      <w:r w:rsidRPr="00E912B9">
        <w:rPr>
          <w:lang w:val="el-GR"/>
        </w:rPr>
        <w:t xml:space="preserve"> </w:t>
      </w:r>
      <w:r>
        <w:rPr>
          <w:lang w:val="el-GR"/>
        </w:rPr>
        <w:t>του</w:t>
      </w:r>
      <w:r w:rsidR="00633E52" w:rsidRPr="00E912B9">
        <w:rPr>
          <w:lang w:val="el-GR"/>
        </w:rPr>
        <w:t xml:space="preserve"> </w:t>
      </w:r>
      <w:r w:rsidR="00633E52">
        <w:t>I</w:t>
      </w:r>
      <w:r w:rsidR="00633E52" w:rsidRPr="00E912B9">
        <w:rPr>
          <w:lang w:val="el-GR"/>
        </w:rPr>
        <w:t>.</w:t>
      </w:r>
      <w:r w:rsidR="00633E52">
        <w:t>Family</w:t>
      </w:r>
      <w:r w:rsidR="00324AE4" w:rsidRPr="00E912B9">
        <w:rPr>
          <w:lang w:val="el-GR"/>
        </w:rPr>
        <w:t xml:space="preserve"> </w:t>
      </w:r>
      <w:r w:rsidR="001F582B" w:rsidRPr="00E912B9">
        <w:rPr>
          <w:lang w:val="el-GR"/>
        </w:rPr>
        <w:t>(</w:t>
      </w:r>
      <w:r>
        <w:rPr>
          <w:lang w:val="el-GR"/>
        </w:rPr>
        <w:t>Καθηγήτρια</w:t>
      </w:r>
      <w:r w:rsidRPr="00E912B9">
        <w:rPr>
          <w:lang w:val="el-GR"/>
        </w:rPr>
        <w:t xml:space="preserve"> Βιομετρία</w:t>
      </w:r>
      <w:r>
        <w:rPr>
          <w:lang w:val="el-GR"/>
        </w:rPr>
        <w:t>ς και Επιδημιολογικών Μεθόδων</w:t>
      </w:r>
      <w:r w:rsidR="001A6826">
        <w:rPr>
          <w:lang w:val="el-GR"/>
        </w:rPr>
        <w:t xml:space="preserve"> στο </w:t>
      </w:r>
      <w:r w:rsidR="001A6826">
        <w:rPr>
          <w:lang w:val="en-US"/>
        </w:rPr>
        <w:t>BIPS</w:t>
      </w:r>
      <w:r w:rsidRPr="00E912B9">
        <w:rPr>
          <w:lang w:val="el-GR"/>
        </w:rPr>
        <w:t xml:space="preserve"> - Ινστιτούτο Επιδημιολογίας και </w:t>
      </w:r>
      <w:r>
        <w:rPr>
          <w:lang w:val="el-GR"/>
        </w:rPr>
        <w:t>Έρευνας για την Πρόληψη</w:t>
      </w:r>
      <w:r w:rsidR="00204099">
        <w:rPr>
          <w:lang w:val="el-GR"/>
        </w:rPr>
        <w:t>,</w:t>
      </w:r>
      <w:r>
        <w:rPr>
          <w:lang w:val="el-GR"/>
        </w:rPr>
        <w:t xml:space="preserve"> στη Βρέμη της</w:t>
      </w:r>
      <w:r w:rsidRPr="00E912B9">
        <w:rPr>
          <w:lang w:val="el-GR"/>
        </w:rPr>
        <w:t xml:space="preserve"> Γερμανία</w:t>
      </w:r>
      <w:r>
        <w:rPr>
          <w:lang w:val="el-GR"/>
        </w:rPr>
        <w:t>ς</w:t>
      </w:r>
      <w:r w:rsidR="00324AE4" w:rsidRPr="00E912B9">
        <w:rPr>
          <w:lang w:val="el-GR"/>
        </w:rPr>
        <w:t xml:space="preserve">) </w:t>
      </w:r>
      <w:r w:rsidR="00633E52" w:rsidRPr="00E912B9">
        <w:rPr>
          <w:lang w:val="el-GR"/>
        </w:rPr>
        <w:t xml:space="preserve"> </w:t>
      </w:r>
      <w:r w:rsidR="005B7642">
        <w:rPr>
          <w:lang w:val="el-GR"/>
        </w:rPr>
        <w:t>δήλωσε</w:t>
      </w:r>
      <w:r w:rsidR="001A6826">
        <w:rPr>
          <w:lang w:val="el-GR"/>
        </w:rPr>
        <w:t xml:space="preserve"> σήμερα</w:t>
      </w:r>
      <w:r w:rsidR="005B7642">
        <w:rPr>
          <w:lang w:val="el-GR"/>
        </w:rPr>
        <w:t>,</w:t>
      </w:r>
      <w:r w:rsidR="001A6826">
        <w:rPr>
          <w:lang w:val="el-GR"/>
        </w:rPr>
        <w:t xml:space="preserve"> στο Συνέδριο</w:t>
      </w:r>
      <w:r w:rsidR="00B36B74" w:rsidRPr="00E912B9">
        <w:rPr>
          <w:lang w:val="el-GR"/>
        </w:rPr>
        <w:t xml:space="preserve"> </w:t>
      </w:r>
      <w:r w:rsidR="00204099">
        <w:rPr>
          <w:lang w:val="el-GR"/>
        </w:rPr>
        <w:t xml:space="preserve">του </w:t>
      </w:r>
      <w:r w:rsidR="00B36B74">
        <w:t>ECOG</w:t>
      </w:r>
      <w:r w:rsidR="00204099">
        <w:rPr>
          <w:lang w:val="el-GR"/>
        </w:rPr>
        <w:t>: «Παιδιά κάτω των</w:t>
      </w:r>
      <w:r w:rsidR="005B7642">
        <w:rPr>
          <w:lang w:val="el-GR"/>
        </w:rPr>
        <w:t xml:space="preserve"> δέκα χρονώ</w:t>
      </w:r>
      <w:r w:rsidR="001A6826">
        <w:rPr>
          <w:lang w:val="el-GR"/>
        </w:rPr>
        <w:t>ν, που παραμένουν συνδεδεμέν</w:t>
      </w:r>
      <w:r w:rsidR="005B7642">
        <w:rPr>
          <w:lang w:val="el-GR"/>
        </w:rPr>
        <w:t>α με την οικογένεια</w:t>
      </w:r>
      <w:r w:rsidR="00204099">
        <w:rPr>
          <w:lang w:val="el-GR"/>
        </w:rPr>
        <w:t>,</w:t>
      </w:r>
      <w:r w:rsidR="005B7642">
        <w:rPr>
          <w:lang w:val="el-GR"/>
        </w:rPr>
        <w:t xml:space="preserve"> τρώγοντας μαζί, διατηρούν ένα αίσθημα ευεξίας και </w:t>
      </w:r>
      <w:r w:rsidR="001A6826">
        <w:rPr>
          <w:lang w:val="el-GR"/>
        </w:rPr>
        <w:t>αντιμετωπίζουν 50% λιγότερες πιθανότητες να γίνουν υπέρβαρα ή παχύσαρκα.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Η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εμπειρία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ενός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υποστηρικτικού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και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ζεστού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οικογενειακού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περιβάλλοντος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παίζει σημαντικό ρόλο στη διατήρηση ενός υγιούς βάρους</w:t>
      </w:r>
      <w:r w:rsidR="00204099">
        <w:rPr>
          <w:lang w:val="el-GR"/>
        </w:rPr>
        <w:t xml:space="preserve">. </w:t>
      </w:r>
      <w:r w:rsidR="001A6826">
        <w:rPr>
          <w:lang w:val="el-GR"/>
        </w:rPr>
        <w:t>Αυτό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το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εντυπωσιακό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και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σημαντικό</w:t>
      </w:r>
      <w:r w:rsidR="001A6826" w:rsidRPr="001A6826">
        <w:rPr>
          <w:lang w:val="el-GR"/>
        </w:rPr>
        <w:t xml:space="preserve"> </w:t>
      </w:r>
      <w:r w:rsidR="00204099">
        <w:rPr>
          <w:lang w:val="el-GR"/>
        </w:rPr>
        <w:t>συμπέρασμα</w:t>
      </w:r>
      <w:r w:rsidR="001A6826" w:rsidRPr="001A6826">
        <w:rPr>
          <w:lang w:val="el-GR"/>
        </w:rPr>
        <w:t xml:space="preserve"> </w:t>
      </w:r>
      <w:r w:rsidR="00204099">
        <w:rPr>
          <w:lang w:val="el-GR"/>
        </w:rPr>
        <w:t>επικυρώνεται</w:t>
      </w:r>
      <w:r w:rsidR="001A6826" w:rsidRPr="001A6826">
        <w:rPr>
          <w:lang w:val="el-GR"/>
        </w:rPr>
        <w:t xml:space="preserve"> </w:t>
      </w:r>
      <w:r w:rsidR="001A6826">
        <w:rPr>
          <w:lang w:val="el-GR"/>
        </w:rPr>
        <w:t>με την πλατφόρμα του</w:t>
      </w:r>
      <w:r w:rsidR="00AA59A1" w:rsidRPr="001A6826">
        <w:rPr>
          <w:lang w:val="el-GR"/>
        </w:rPr>
        <w:t xml:space="preserve"> </w:t>
      </w:r>
      <w:r w:rsidR="00AA59A1">
        <w:t>IDEFICS</w:t>
      </w:r>
      <w:r w:rsidR="001A6826">
        <w:rPr>
          <w:lang w:val="el-GR"/>
        </w:rPr>
        <w:t>,</w:t>
      </w:r>
      <w:r w:rsidR="00633E52" w:rsidRPr="001A6826">
        <w:rPr>
          <w:lang w:val="el-GR"/>
        </w:rPr>
        <w:t xml:space="preserve"> </w:t>
      </w:r>
      <w:r w:rsidR="001A6826">
        <w:rPr>
          <w:lang w:val="el-GR"/>
        </w:rPr>
        <w:t>η οποία αφορά πάνω από</w:t>
      </w:r>
      <w:r w:rsidR="00633E52" w:rsidRPr="001A6826">
        <w:rPr>
          <w:lang w:val="el-GR"/>
        </w:rPr>
        <w:t xml:space="preserve"> 16,000 </w:t>
      </w:r>
      <w:r w:rsidR="001A6826">
        <w:rPr>
          <w:lang w:val="el-GR"/>
        </w:rPr>
        <w:t>παιδιά σε οκτώ διαφορετικές ευρωπαϊκές χώρες</w:t>
      </w:r>
      <w:r w:rsidR="00204099">
        <w:rPr>
          <w:lang w:val="el-GR"/>
        </w:rPr>
        <w:t>.</w:t>
      </w:r>
    </w:p>
    <w:p w:rsidR="00DD5C24" w:rsidRPr="00062BA9" w:rsidRDefault="001A6826" w:rsidP="00DD5C24">
      <w:pPr>
        <w:rPr>
          <w:lang w:val="el-GR"/>
        </w:rPr>
      </w:pPr>
      <w:r>
        <w:rPr>
          <w:lang w:val="el-GR"/>
        </w:rPr>
        <w:t>Το</w:t>
      </w:r>
      <w:r w:rsidRPr="00062BA9">
        <w:rPr>
          <w:lang w:val="el-GR"/>
        </w:rPr>
        <w:t xml:space="preserve"> </w:t>
      </w:r>
      <w:r>
        <w:rPr>
          <w:lang w:val="el-GR"/>
        </w:rPr>
        <w:t>τι</w:t>
      </w:r>
      <w:r w:rsidRPr="00062BA9">
        <w:rPr>
          <w:lang w:val="el-GR"/>
        </w:rPr>
        <w:t xml:space="preserve"> </w:t>
      </w:r>
      <w:r>
        <w:rPr>
          <w:lang w:val="el-GR"/>
        </w:rPr>
        <w:t>θα</w:t>
      </w:r>
      <w:r w:rsidRPr="00062BA9">
        <w:rPr>
          <w:lang w:val="el-GR"/>
        </w:rPr>
        <w:t xml:space="preserve"> </w:t>
      </w:r>
      <w:r>
        <w:rPr>
          <w:lang w:val="el-GR"/>
        </w:rPr>
        <w:t>κάνουμε</w:t>
      </w:r>
      <w:r w:rsidR="00204099">
        <w:rPr>
          <w:lang w:val="el-GR"/>
        </w:rPr>
        <w:t>,</w:t>
      </w:r>
      <w:r w:rsidRPr="00062BA9">
        <w:rPr>
          <w:lang w:val="el-GR"/>
        </w:rPr>
        <w:t xml:space="preserve"> </w:t>
      </w:r>
      <w:r>
        <w:rPr>
          <w:lang w:val="el-GR"/>
        </w:rPr>
        <w:t>τώρα</w:t>
      </w:r>
      <w:r w:rsidR="00204099">
        <w:rPr>
          <w:lang w:val="el-GR"/>
        </w:rPr>
        <w:t>,</w:t>
      </w:r>
      <w:r w:rsidRPr="00062BA9">
        <w:rPr>
          <w:lang w:val="el-GR"/>
        </w:rPr>
        <w:t xml:space="preserve"> </w:t>
      </w:r>
      <w:r w:rsidR="00204099">
        <w:rPr>
          <w:lang w:val="el-GR"/>
        </w:rPr>
        <w:t>με το πρόγραμμα</w:t>
      </w:r>
      <w:r w:rsidRPr="00062BA9">
        <w:rPr>
          <w:lang w:val="el-GR"/>
        </w:rPr>
        <w:t xml:space="preserve"> </w:t>
      </w:r>
      <w:r>
        <w:t>I</w:t>
      </w:r>
      <w:r w:rsidRPr="00062BA9">
        <w:rPr>
          <w:lang w:val="el-GR"/>
        </w:rPr>
        <w:t xml:space="preserve">. </w:t>
      </w:r>
      <w:r>
        <w:t>Family</w:t>
      </w:r>
      <w:r w:rsidR="00204099">
        <w:rPr>
          <w:lang w:val="el-GR"/>
        </w:rPr>
        <w:t>, είναι το εξής: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παρακολουθώντας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αυτή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την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ομάδα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που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συγκέντρωσε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το</w:t>
      </w:r>
      <w:r w:rsidR="00062BA9" w:rsidRPr="00062BA9">
        <w:rPr>
          <w:lang w:val="el-GR"/>
        </w:rPr>
        <w:t xml:space="preserve"> </w:t>
      </w:r>
      <w:r w:rsidR="00062BA9">
        <w:t>IDEFICS</w:t>
      </w:r>
      <w:r w:rsidR="00062BA9" w:rsidRPr="00062BA9">
        <w:rPr>
          <w:lang w:val="el-GR"/>
        </w:rPr>
        <w:t xml:space="preserve">», </w:t>
      </w:r>
      <w:r w:rsidR="00062BA9">
        <w:rPr>
          <w:lang w:val="el-GR"/>
        </w:rPr>
        <w:t>συνεχίζει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η</w:t>
      </w:r>
      <w:r w:rsidR="00062BA9" w:rsidRPr="00062BA9">
        <w:rPr>
          <w:lang w:val="el-GR"/>
        </w:rPr>
        <w:t xml:space="preserve"> </w:t>
      </w:r>
      <w:r w:rsidR="00062BA9">
        <w:t>Pigeot</w:t>
      </w:r>
      <w:r w:rsidR="00062BA9" w:rsidRPr="00062BA9">
        <w:rPr>
          <w:lang w:val="el-GR"/>
        </w:rPr>
        <w:t>, «</w:t>
      </w:r>
      <w:r w:rsidR="00204099">
        <w:rPr>
          <w:lang w:val="el-GR"/>
        </w:rPr>
        <w:t>θα δούμε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πόσο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μακριά</w:t>
      </w:r>
      <w:r w:rsidR="00062BA9" w:rsidRPr="00062BA9">
        <w:rPr>
          <w:lang w:val="el-GR"/>
        </w:rPr>
        <w:t xml:space="preserve"> </w:t>
      </w:r>
      <w:r w:rsidR="00204099">
        <w:rPr>
          <w:lang w:val="el-GR"/>
        </w:rPr>
        <w:t>φτάνει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ο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ρόλος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της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υποστηρικτικής</w:t>
      </w:r>
      <w:r w:rsidR="00062BA9" w:rsidRPr="00062BA9">
        <w:rPr>
          <w:lang w:val="el-GR"/>
        </w:rPr>
        <w:t xml:space="preserve"> </w:t>
      </w:r>
      <w:r w:rsidR="00062BA9">
        <w:rPr>
          <w:lang w:val="el-GR"/>
        </w:rPr>
        <w:t>οικογένειας</w:t>
      </w:r>
      <w:r w:rsidR="00204099">
        <w:rPr>
          <w:lang w:val="el-GR"/>
        </w:rPr>
        <w:t xml:space="preserve"> – δηλαδή, αν </w:t>
      </w:r>
      <w:r w:rsidR="00811803">
        <w:rPr>
          <w:lang w:val="el-GR"/>
        </w:rPr>
        <w:t>ένα καλά δομημένο περιβάλλον μπορεί να διατηρήσει την επίδρασή του,</w:t>
      </w:r>
      <w:r w:rsidR="00204099">
        <w:rPr>
          <w:lang w:val="el-GR"/>
        </w:rPr>
        <w:t xml:space="preserve"> όταν τα παιδιά αρχίζουν να γίνονται</w:t>
      </w:r>
      <w:r w:rsidR="00811803">
        <w:rPr>
          <w:lang w:val="el-GR"/>
        </w:rPr>
        <w:t xml:space="preserve"> </w:t>
      </w:r>
      <w:r w:rsidR="00AA59A1" w:rsidRPr="005B7642">
        <w:rPr>
          <w:i/>
        </w:rPr>
        <w:t>tweens</w:t>
      </w:r>
      <w:r w:rsidR="005B7642">
        <w:rPr>
          <w:lang w:val="el-GR"/>
        </w:rPr>
        <w:t xml:space="preserve"> </w:t>
      </w:r>
      <w:r w:rsidR="00204099">
        <w:rPr>
          <w:lang w:val="el-GR"/>
        </w:rPr>
        <w:t xml:space="preserve">ή αν </w:t>
      </w:r>
      <w:r w:rsidR="00062BA9">
        <w:rPr>
          <w:lang w:val="el-GR"/>
        </w:rPr>
        <w:t>αυτό τον ρόλο</w:t>
      </w:r>
      <w:r w:rsidR="00C156FF" w:rsidRPr="00C156FF">
        <w:rPr>
          <w:lang w:val="el-GR"/>
        </w:rPr>
        <w:t xml:space="preserve"> </w:t>
      </w:r>
      <w:r w:rsidR="00811803">
        <w:rPr>
          <w:lang w:val="el-GR"/>
        </w:rPr>
        <w:t xml:space="preserve">αρχίζει να </w:t>
      </w:r>
      <w:r w:rsidR="00062BA9">
        <w:rPr>
          <w:lang w:val="el-GR"/>
        </w:rPr>
        <w:t>τον υ</w:t>
      </w:r>
      <w:r w:rsidR="00811803">
        <w:rPr>
          <w:lang w:val="el-GR"/>
        </w:rPr>
        <w:t>ποκαθιστά ένα άλλο γκρουπ συνομηλί</w:t>
      </w:r>
      <w:r w:rsidR="00062BA9">
        <w:rPr>
          <w:lang w:val="el-GR"/>
        </w:rPr>
        <w:t>κων.</w:t>
      </w:r>
    </w:p>
    <w:p w:rsidR="001017CF" w:rsidRPr="008F7EA5" w:rsidRDefault="008F7EA5" w:rsidP="001017CF">
      <w:pPr>
        <w:rPr>
          <w:lang w:val="el-GR"/>
        </w:rPr>
      </w:pPr>
      <w:r>
        <w:rPr>
          <w:lang w:val="el-GR"/>
        </w:rPr>
        <w:t>Η</w:t>
      </w:r>
      <w:r w:rsidRPr="008F7EA5">
        <w:rPr>
          <w:lang w:val="el-GR"/>
        </w:rPr>
        <w:t xml:space="preserve"> </w:t>
      </w:r>
      <w:r>
        <w:rPr>
          <w:lang w:val="el-GR"/>
        </w:rPr>
        <w:t>μελέτη</w:t>
      </w:r>
      <w:r w:rsidRPr="008F7EA5">
        <w:rPr>
          <w:lang w:val="el-GR"/>
        </w:rPr>
        <w:t xml:space="preserve"> </w:t>
      </w:r>
      <w:r>
        <w:rPr>
          <w:lang w:val="el-GR"/>
        </w:rPr>
        <w:t>του</w:t>
      </w:r>
      <w:r w:rsidRPr="008F7EA5">
        <w:rPr>
          <w:lang w:val="el-GR"/>
        </w:rPr>
        <w:t xml:space="preserve"> </w:t>
      </w:r>
      <w:r>
        <w:t>IDEFICS</w:t>
      </w:r>
      <w:r w:rsidRPr="008F7EA5">
        <w:rPr>
          <w:lang w:val="el-GR"/>
        </w:rPr>
        <w:t xml:space="preserve"> </w:t>
      </w:r>
      <w:r>
        <w:rPr>
          <w:lang w:val="el-GR"/>
        </w:rPr>
        <w:t>έδειξε</w:t>
      </w:r>
      <w:r w:rsidRPr="008F7EA5">
        <w:rPr>
          <w:lang w:val="el-GR"/>
        </w:rPr>
        <w:t xml:space="preserve"> </w:t>
      </w:r>
      <w:r>
        <w:rPr>
          <w:lang w:val="el-GR"/>
        </w:rPr>
        <w:t>καθαρά</w:t>
      </w:r>
      <w:r w:rsidRPr="008F7EA5">
        <w:rPr>
          <w:lang w:val="el-GR"/>
        </w:rPr>
        <w:t xml:space="preserve"> </w:t>
      </w:r>
      <w:r>
        <w:rPr>
          <w:lang w:val="el-GR"/>
        </w:rPr>
        <w:t>ότι</w:t>
      </w:r>
      <w:r w:rsidRPr="008F7EA5">
        <w:rPr>
          <w:lang w:val="el-GR"/>
        </w:rPr>
        <w:t xml:space="preserve"> </w:t>
      </w:r>
      <w:r>
        <w:rPr>
          <w:lang w:val="el-GR"/>
        </w:rPr>
        <w:t>η</w:t>
      </w:r>
      <w:r w:rsidRPr="008F7EA5">
        <w:rPr>
          <w:lang w:val="el-GR"/>
        </w:rPr>
        <w:t xml:space="preserve"> </w:t>
      </w:r>
      <w:r>
        <w:rPr>
          <w:lang w:val="el-GR"/>
        </w:rPr>
        <w:t>συναισθηματική</w:t>
      </w:r>
      <w:r w:rsidRPr="008F7EA5">
        <w:rPr>
          <w:lang w:val="el-GR"/>
        </w:rPr>
        <w:t xml:space="preserve"> </w:t>
      </w:r>
      <w:r>
        <w:rPr>
          <w:lang w:val="el-GR"/>
        </w:rPr>
        <w:t>ευεξία</w:t>
      </w:r>
      <w:r w:rsidRPr="008F7EA5">
        <w:rPr>
          <w:lang w:val="el-GR"/>
        </w:rPr>
        <w:t xml:space="preserve">, </w:t>
      </w:r>
      <w:r>
        <w:rPr>
          <w:lang w:val="el-GR"/>
        </w:rPr>
        <w:t>η</w:t>
      </w:r>
      <w:r w:rsidRPr="008F7EA5">
        <w:rPr>
          <w:lang w:val="el-GR"/>
        </w:rPr>
        <w:t xml:space="preserve"> </w:t>
      </w:r>
      <w:r>
        <w:rPr>
          <w:lang w:val="el-GR"/>
        </w:rPr>
        <w:t>αυτοπεποίθηση</w:t>
      </w:r>
      <w:r w:rsidRPr="008F7EA5">
        <w:rPr>
          <w:lang w:val="el-GR"/>
        </w:rPr>
        <w:t xml:space="preserve">, </w:t>
      </w:r>
      <w:r>
        <w:rPr>
          <w:lang w:val="el-GR"/>
        </w:rPr>
        <w:t>οι</w:t>
      </w:r>
      <w:r w:rsidRPr="008F7EA5">
        <w:rPr>
          <w:lang w:val="el-GR"/>
        </w:rPr>
        <w:t xml:space="preserve"> </w:t>
      </w:r>
      <w:r w:rsidR="00811803">
        <w:rPr>
          <w:lang w:val="el-GR"/>
        </w:rPr>
        <w:t xml:space="preserve">καλές </w:t>
      </w:r>
      <w:r>
        <w:rPr>
          <w:lang w:val="el-GR"/>
        </w:rPr>
        <w:t>σχέσεις</w:t>
      </w:r>
      <w:r w:rsidRPr="008F7EA5">
        <w:rPr>
          <w:lang w:val="el-GR"/>
        </w:rPr>
        <w:t xml:space="preserve"> </w:t>
      </w:r>
      <w:r w:rsidR="00811803">
        <w:rPr>
          <w:lang w:val="el-GR"/>
        </w:rPr>
        <w:t>μέσα στην οικογένεια</w:t>
      </w:r>
      <w:r>
        <w:rPr>
          <w:lang w:val="el-GR"/>
        </w:rPr>
        <w:t xml:space="preserve"> και οι κοινωνικές επαφές είναι όροι κλειδιά για τη διατήρηση ενός </w:t>
      </w:r>
      <w:r>
        <w:rPr>
          <w:lang w:val="el-GR"/>
        </w:rPr>
        <w:lastRenderedPageBreak/>
        <w:t>υγιούς βάρους</w:t>
      </w:r>
      <w:r w:rsidR="001017CF" w:rsidRPr="008F7EA5">
        <w:rPr>
          <w:b/>
          <w:lang w:val="el-GR"/>
        </w:rPr>
        <w:t xml:space="preserve">.  </w:t>
      </w:r>
      <w:r>
        <w:rPr>
          <w:b/>
          <w:lang w:val="el-GR"/>
        </w:rPr>
        <w:t>Το</w:t>
      </w:r>
      <w:r w:rsidRPr="008F7EA5">
        <w:rPr>
          <w:b/>
          <w:lang w:val="el-GR"/>
        </w:rPr>
        <w:t xml:space="preserve"> </w:t>
      </w:r>
      <w:r w:rsidR="001017CF" w:rsidRPr="001017CF">
        <w:rPr>
          <w:b/>
        </w:rPr>
        <w:t>I</w:t>
      </w:r>
      <w:r w:rsidR="001017CF" w:rsidRPr="008F7EA5">
        <w:rPr>
          <w:b/>
          <w:lang w:val="el-GR"/>
        </w:rPr>
        <w:t>.</w:t>
      </w:r>
      <w:r w:rsidR="001017CF" w:rsidRPr="001017CF">
        <w:rPr>
          <w:b/>
        </w:rPr>
        <w:t>Family</w:t>
      </w:r>
      <w:r w:rsidR="001017CF" w:rsidRPr="008F7EA5">
        <w:rPr>
          <w:lang w:val="el-GR"/>
        </w:rPr>
        <w:t xml:space="preserve"> </w:t>
      </w:r>
      <w:r>
        <w:rPr>
          <w:lang w:val="el-GR"/>
        </w:rPr>
        <w:t>θα</w:t>
      </w:r>
      <w:r w:rsidRPr="008F7EA5">
        <w:rPr>
          <w:lang w:val="el-GR"/>
        </w:rPr>
        <w:t xml:space="preserve"> </w:t>
      </w:r>
      <w:r>
        <w:rPr>
          <w:lang w:val="el-GR"/>
        </w:rPr>
        <w:t>προσπαθήσει</w:t>
      </w:r>
      <w:r w:rsidRPr="008F7EA5">
        <w:rPr>
          <w:lang w:val="el-GR"/>
        </w:rPr>
        <w:t xml:space="preserve"> </w:t>
      </w:r>
      <w:r>
        <w:rPr>
          <w:lang w:val="el-GR"/>
        </w:rPr>
        <w:t>να</w:t>
      </w:r>
      <w:r w:rsidRPr="008F7EA5">
        <w:rPr>
          <w:lang w:val="el-GR"/>
        </w:rPr>
        <w:t xml:space="preserve"> </w:t>
      </w:r>
      <w:r>
        <w:rPr>
          <w:lang w:val="el-GR"/>
        </w:rPr>
        <w:t>προσδιορίσει</w:t>
      </w:r>
      <w:r w:rsidRPr="008F7EA5">
        <w:rPr>
          <w:lang w:val="el-GR"/>
        </w:rPr>
        <w:t xml:space="preserve"> </w:t>
      </w:r>
      <w:r>
        <w:rPr>
          <w:lang w:val="el-GR"/>
        </w:rPr>
        <w:t>πόσο σημαντικός είναι</w:t>
      </w:r>
      <w:r w:rsidRPr="008F7EA5">
        <w:rPr>
          <w:lang w:val="el-GR"/>
        </w:rPr>
        <w:t xml:space="preserve"> </w:t>
      </w:r>
      <w:r>
        <w:rPr>
          <w:lang w:val="el-GR"/>
        </w:rPr>
        <w:t>ο</w:t>
      </w:r>
      <w:r w:rsidRPr="008F7EA5">
        <w:rPr>
          <w:lang w:val="el-GR"/>
        </w:rPr>
        <w:t xml:space="preserve"> </w:t>
      </w:r>
      <w:r>
        <w:rPr>
          <w:lang w:val="el-GR"/>
        </w:rPr>
        <w:t>ρόλος</w:t>
      </w:r>
      <w:r w:rsidRPr="008F7EA5">
        <w:rPr>
          <w:lang w:val="el-GR"/>
        </w:rPr>
        <w:t xml:space="preserve"> </w:t>
      </w:r>
      <w:r>
        <w:rPr>
          <w:lang w:val="el-GR"/>
        </w:rPr>
        <w:t>της</w:t>
      </w:r>
      <w:r w:rsidRPr="008F7EA5">
        <w:rPr>
          <w:lang w:val="el-GR"/>
        </w:rPr>
        <w:t xml:space="preserve"> </w:t>
      </w:r>
      <w:r>
        <w:rPr>
          <w:lang w:val="el-GR"/>
        </w:rPr>
        <w:t>οικογενειακής</w:t>
      </w:r>
      <w:r w:rsidRPr="008F7EA5">
        <w:rPr>
          <w:lang w:val="el-GR"/>
        </w:rPr>
        <w:t xml:space="preserve"> </w:t>
      </w:r>
      <w:r>
        <w:rPr>
          <w:lang w:val="el-GR"/>
        </w:rPr>
        <w:t>ενότητας</w:t>
      </w:r>
      <w:r w:rsidRPr="008F7EA5">
        <w:rPr>
          <w:lang w:val="el-GR"/>
        </w:rPr>
        <w:t xml:space="preserve"> </w:t>
      </w:r>
      <w:r w:rsidR="001017CF" w:rsidRPr="008F7EA5">
        <w:rPr>
          <w:lang w:val="el-GR"/>
        </w:rPr>
        <w:t xml:space="preserve"> </w:t>
      </w:r>
      <w:r w:rsidR="00811803" w:rsidRPr="008F7EA5">
        <w:rPr>
          <w:lang w:val="el-GR"/>
        </w:rPr>
        <w:t xml:space="preserve"> </w:t>
      </w:r>
      <w:r w:rsidR="00811803">
        <w:rPr>
          <w:lang w:val="el-GR"/>
        </w:rPr>
        <w:t>–</w:t>
      </w:r>
      <w:r w:rsidR="00811803" w:rsidRPr="008F7EA5">
        <w:rPr>
          <w:lang w:val="el-GR"/>
        </w:rPr>
        <w:t xml:space="preserve"> </w:t>
      </w:r>
      <w:r w:rsidR="00811803">
        <w:rPr>
          <w:lang w:val="el-GR"/>
        </w:rPr>
        <w:t>ή αν είναι,</w:t>
      </w:r>
      <w:r>
        <w:rPr>
          <w:lang w:val="el-GR"/>
        </w:rPr>
        <w:t xml:space="preserve"> πράγματι</w:t>
      </w:r>
      <w:r w:rsidR="00811803">
        <w:rPr>
          <w:lang w:val="el-GR"/>
        </w:rPr>
        <w:t>, ο κυριότερος</w:t>
      </w:r>
      <w:r>
        <w:rPr>
          <w:lang w:val="el-GR"/>
        </w:rPr>
        <w:t xml:space="preserve"> παράγοντας</w:t>
      </w:r>
      <w:r w:rsidR="001017CF" w:rsidRPr="008F7EA5">
        <w:rPr>
          <w:lang w:val="el-GR"/>
        </w:rPr>
        <w:t xml:space="preserve"> </w:t>
      </w:r>
      <w:r>
        <w:rPr>
          <w:lang w:val="el-GR"/>
        </w:rPr>
        <w:t>–</w:t>
      </w:r>
      <w:r w:rsidR="001017CF" w:rsidRPr="008F7EA5">
        <w:rPr>
          <w:lang w:val="el-GR"/>
        </w:rPr>
        <w:t xml:space="preserve"> </w:t>
      </w:r>
      <w:r w:rsidR="00811803">
        <w:rPr>
          <w:lang w:val="el-GR"/>
        </w:rPr>
        <w:t xml:space="preserve">στην προσπάθεια των </w:t>
      </w:r>
      <w:r>
        <w:rPr>
          <w:lang w:val="el-GR"/>
        </w:rPr>
        <w:t xml:space="preserve">Ευρωπαίων </w:t>
      </w:r>
      <w:r w:rsidRPr="005B7642">
        <w:rPr>
          <w:i/>
        </w:rPr>
        <w:t>Tween</w:t>
      </w:r>
      <w:r w:rsidRPr="005B7642">
        <w:rPr>
          <w:i/>
          <w:lang w:val="en-US"/>
        </w:rPr>
        <w:t>s</w:t>
      </w:r>
      <w:r w:rsidR="001017CF" w:rsidRPr="008F7EA5">
        <w:rPr>
          <w:lang w:val="el-GR"/>
        </w:rPr>
        <w:t xml:space="preserve"> </w:t>
      </w:r>
      <w:r>
        <w:rPr>
          <w:lang w:val="el-GR"/>
        </w:rPr>
        <w:t xml:space="preserve"> να καταπολεμήσουν την παχυσαρκία».</w:t>
      </w:r>
      <w:r w:rsidR="001017CF" w:rsidRPr="008F7EA5">
        <w:rPr>
          <w:lang w:val="el-GR"/>
        </w:rPr>
        <w:t xml:space="preserve"> </w:t>
      </w:r>
    </w:p>
    <w:p w:rsidR="001017CF" w:rsidRPr="00204099" w:rsidRDefault="001017CF" w:rsidP="001017CF">
      <w:pPr>
        <w:spacing w:before="100" w:beforeAutospacing="1" w:after="100" w:afterAutospacing="1" w:line="240" w:lineRule="auto"/>
        <w:jc w:val="both"/>
        <w:rPr>
          <w:sz w:val="20"/>
          <w:szCs w:val="20"/>
          <w:lang w:val="el-GR" w:eastAsia="en-GB"/>
        </w:rPr>
      </w:pPr>
      <w:r w:rsidRPr="008F7EA5">
        <w:rPr>
          <w:sz w:val="24"/>
          <w:szCs w:val="24"/>
          <w:lang w:val="el-GR" w:eastAsia="en-GB"/>
        </w:rPr>
        <w:tab/>
      </w:r>
      <w:r w:rsidRPr="00204099">
        <w:rPr>
          <w:sz w:val="24"/>
          <w:szCs w:val="24"/>
          <w:lang w:val="el-GR" w:eastAsia="en-GB"/>
        </w:rPr>
        <w:t xml:space="preserve">                   </w:t>
      </w:r>
      <w:r w:rsidR="00324AE4" w:rsidRPr="00204099">
        <w:rPr>
          <w:sz w:val="24"/>
          <w:szCs w:val="24"/>
          <w:lang w:val="el-GR" w:eastAsia="en-GB"/>
        </w:rPr>
        <w:t xml:space="preserve">                                                      </w:t>
      </w:r>
      <w:r w:rsidR="008F7EA5" w:rsidRPr="00204099">
        <w:rPr>
          <w:sz w:val="24"/>
          <w:szCs w:val="24"/>
          <w:lang w:val="el-GR" w:eastAsia="en-GB"/>
        </w:rPr>
        <w:t xml:space="preserve">                </w:t>
      </w:r>
      <w:r w:rsidR="008F7EA5" w:rsidRPr="008F7EA5">
        <w:rPr>
          <w:sz w:val="20"/>
          <w:szCs w:val="20"/>
          <w:lang w:val="el-GR" w:eastAsia="en-GB"/>
        </w:rPr>
        <w:t>Τελειώνει</w:t>
      </w:r>
      <w:r w:rsidR="008F7EA5" w:rsidRPr="00204099">
        <w:rPr>
          <w:sz w:val="20"/>
          <w:szCs w:val="20"/>
          <w:lang w:val="el-GR" w:eastAsia="en-GB"/>
        </w:rPr>
        <w:t>/</w:t>
      </w:r>
      <w:r w:rsidR="008F7EA5" w:rsidRPr="008F7EA5">
        <w:rPr>
          <w:sz w:val="20"/>
          <w:szCs w:val="20"/>
          <w:lang w:val="el-GR" w:eastAsia="en-GB"/>
        </w:rPr>
        <w:t>Ακολουθούν</w:t>
      </w:r>
      <w:r w:rsidR="008F7EA5" w:rsidRPr="00204099">
        <w:rPr>
          <w:sz w:val="20"/>
          <w:szCs w:val="20"/>
          <w:lang w:val="el-GR" w:eastAsia="en-GB"/>
        </w:rPr>
        <w:t xml:space="preserve"> </w:t>
      </w:r>
      <w:r w:rsidR="008F7EA5" w:rsidRPr="008F7EA5">
        <w:rPr>
          <w:sz w:val="20"/>
          <w:szCs w:val="20"/>
          <w:lang w:val="el-GR" w:eastAsia="en-GB"/>
        </w:rPr>
        <w:t>σημειώσεις</w:t>
      </w:r>
    </w:p>
    <w:p w:rsidR="00324AE4" w:rsidRPr="008F7EA5" w:rsidRDefault="008F7EA5" w:rsidP="00324AE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8F7EA5">
        <w:rPr>
          <w:rFonts w:asciiTheme="minorHAnsi" w:hAnsiTheme="minorHAnsi" w:cstheme="minorHAnsi"/>
          <w:b/>
          <w:sz w:val="18"/>
          <w:szCs w:val="18"/>
          <w:lang w:val="el-GR"/>
        </w:rPr>
        <w:t>Διαθέσιμη για συνέντευξη</w:t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>: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</w:t>
      </w:r>
      <w:r w:rsidRPr="008F7EA5">
        <w:rPr>
          <w:rFonts w:asciiTheme="minorHAnsi" w:hAnsiTheme="minorHAnsi" w:cstheme="minorHAnsi"/>
          <w:b/>
          <w:sz w:val="18"/>
          <w:szCs w:val="18"/>
          <w:lang w:val="el-GR"/>
        </w:rPr>
        <w:t>η Αναπληρώτρια Συντονίστρ</w:t>
      </w:r>
      <w:r w:rsidR="00811803">
        <w:rPr>
          <w:rFonts w:asciiTheme="minorHAnsi" w:hAnsiTheme="minorHAnsi" w:cstheme="minorHAnsi"/>
          <w:b/>
          <w:sz w:val="18"/>
          <w:szCs w:val="18"/>
          <w:lang w:val="el-GR"/>
        </w:rPr>
        <w:t>ια του Προγράμματος, Καθηγήτρια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</w:t>
      </w:r>
      <w:r w:rsidR="00324AE4" w:rsidRPr="008F7EA5">
        <w:rPr>
          <w:rFonts w:asciiTheme="minorHAnsi" w:hAnsiTheme="minorHAnsi" w:cstheme="minorHAnsi"/>
          <w:b/>
          <w:sz w:val="18"/>
          <w:szCs w:val="18"/>
        </w:rPr>
        <w:t>Iris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</w:t>
      </w:r>
      <w:r w:rsidR="00324AE4" w:rsidRPr="008F7EA5">
        <w:rPr>
          <w:rFonts w:asciiTheme="minorHAnsi" w:hAnsiTheme="minorHAnsi" w:cstheme="minorHAnsi"/>
          <w:b/>
          <w:sz w:val="18"/>
          <w:szCs w:val="18"/>
        </w:rPr>
        <w:t>Pigeot</w:t>
      </w:r>
      <w:r w:rsidRPr="008F7EA5">
        <w:rPr>
          <w:rFonts w:asciiTheme="minorHAnsi" w:hAnsiTheme="minorHAnsi" w:cstheme="minorHAnsi"/>
          <w:b/>
          <w:sz w:val="18"/>
          <w:szCs w:val="18"/>
          <w:lang w:val="el-GR"/>
        </w:rPr>
        <w:t>.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br/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 xml:space="preserve">Επικοινωνία: </w:t>
      </w:r>
      <w:r w:rsidRPr="008F7EA5">
        <w:rPr>
          <w:rFonts w:asciiTheme="minorHAnsi" w:hAnsiTheme="minorHAnsi" w:cstheme="minorHAnsi"/>
          <w:sz w:val="18"/>
          <w:szCs w:val="18"/>
        </w:rPr>
        <w:t>Rhonda</w:t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8F7EA5">
        <w:rPr>
          <w:rFonts w:asciiTheme="minorHAnsi" w:hAnsiTheme="minorHAnsi" w:cstheme="minorHAnsi"/>
          <w:sz w:val="18"/>
          <w:szCs w:val="18"/>
        </w:rPr>
        <w:t>Smith</w:t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 xml:space="preserve"> του </w:t>
      </w:r>
      <w:r w:rsidRPr="008F7EA5">
        <w:rPr>
          <w:rFonts w:asciiTheme="minorHAnsi" w:hAnsiTheme="minorHAnsi" w:cstheme="minorHAnsi"/>
          <w:sz w:val="18"/>
          <w:szCs w:val="18"/>
        </w:rPr>
        <w:t>Minerva</w:t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 xml:space="preserve"> στο</w:t>
      </w:r>
      <w:r w:rsidR="00324AE4" w:rsidRPr="008F7EA5">
        <w:rPr>
          <w:rFonts w:asciiTheme="minorHAnsi" w:hAnsiTheme="minorHAnsi" w:cstheme="minorHAnsi"/>
          <w:sz w:val="18"/>
          <w:szCs w:val="18"/>
          <w:lang w:val="el-GR"/>
        </w:rPr>
        <w:t xml:space="preserve"> +44(0)7887-714957 </w:t>
      </w:r>
      <w:r w:rsidRPr="008F7EA5">
        <w:rPr>
          <w:rFonts w:asciiTheme="minorHAnsi" w:hAnsiTheme="minorHAnsi" w:cstheme="minorHAnsi"/>
          <w:sz w:val="18"/>
          <w:szCs w:val="18"/>
          <w:lang w:val="el-GR"/>
        </w:rPr>
        <w:t>για διακανονισμό και περαιτέρω πληροφορίες</w:t>
      </w:r>
      <w:r w:rsidR="00811803">
        <w:rPr>
          <w:rFonts w:asciiTheme="minorHAnsi" w:hAnsiTheme="minorHAnsi" w:cstheme="minorHAnsi"/>
          <w:sz w:val="18"/>
          <w:szCs w:val="18"/>
          <w:lang w:val="el-GR"/>
        </w:rPr>
        <w:t>.</w:t>
      </w:r>
      <w:r w:rsidR="00324AE4" w:rsidRPr="008F7EA5">
        <w:rPr>
          <w:rFonts w:asciiTheme="minorHAnsi" w:hAnsiTheme="minorHAnsi" w:cstheme="minorHAnsi"/>
          <w:b/>
          <w:sz w:val="18"/>
          <w:szCs w:val="18"/>
          <w:lang w:val="el-GR"/>
        </w:rPr>
        <w:t xml:space="preserve"> </w:t>
      </w:r>
    </w:p>
    <w:p w:rsidR="00324AE4" w:rsidRPr="008F7EA5" w:rsidRDefault="00324AE4" w:rsidP="001017CF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val="el-GR" w:eastAsia="en-GB"/>
        </w:rPr>
      </w:pPr>
    </w:p>
    <w:p w:rsidR="00324AE4" w:rsidRPr="008F7EA5" w:rsidRDefault="008F7EA5" w:rsidP="00324AE4">
      <w:pPr>
        <w:shd w:val="clear" w:color="auto" w:fill="FFFFFF"/>
        <w:spacing w:after="0" w:line="240" w:lineRule="auto"/>
        <w:rPr>
          <w:b/>
          <w:bCs/>
          <w:sz w:val="24"/>
          <w:szCs w:val="40"/>
          <w:u w:val="single"/>
          <w:lang w:val="el-GR" w:eastAsia="en-GB"/>
        </w:rPr>
      </w:pPr>
      <w:r>
        <w:rPr>
          <w:b/>
          <w:bCs/>
          <w:sz w:val="24"/>
          <w:szCs w:val="40"/>
          <w:u w:val="single"/>
          <w:lang w:val="el-GR" w:eastAsia="en-GB"/>
        </w:rPr>
        <w:t>Σημειώσεις:</w:t>
      </w:r>
      <w:r w:rsidR="005172C5" w:rsidRPr="008F7EA5">
        <w:rPr>
          <w:b/>
          <w:bCs/>
          <w:sz w:val="24"/>
          <w:szCs w:val="40"/>
          <w:u w:val="single"/>
          <w:lang w:val="el-GR" w:eastAsia="en-GB"/>
        </w:rPr>
        <w:t xml:space="preserve"> </w:t>
      </w:r>
      <w:r w:rsidR="00C366DC" w:rsidRPr="008F7EA5">
        <w:rPr>
          <w:b/>
          <w:bCs/>
          <w:sz w:val="24"/>
          <w:szCs w:val="40"/>
          <w:u w:val="single"/>
          <w:lang w:val="el-GR" w:eastAsia="en-GB"/>
        </w:rPr>
        <w:br/>
      </w:r>
    </w:p>
    <w:p w:rsidR="008E76A9" w:rsidRPr="00B71FDA" w:rsidRDefault="008F7EA5" w:rsidP="00C366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μελέτη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</w:rPr>
        <w:t>I</w:t>
      </w:r>
      <w:r w:rsidRPr="008F7EA5">
        <w:rPr>
          <w:rFonts w:asciiTheme="minorHAnsi" w:hAnsiTheme="minorHAnsi" w:cstheme="minorHAnsi"/>
          <w:sz w:val="20"/>
          <w:lang w:val="el-GR"/>
        </w:rPr>
        <w:t>.</w:t>
      </w:r>
      <w:r>
        <w:rPr>
          <w:rFonts w:asciiTheme="minorHAnsi" w:hAnsiTheme="minorHAnsi" w:cstheme="minorHAnsi"/>
          <w:sz w:val="20"/>
        </w:rPr>
        <w:t>Family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είναι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 w:rsidR="005B7642">
        <w:rPr>
          <w:rFonts w:asciiTheme="minorHAnsi" w:hAnsiTheme="minorHAnsi" w:cstheme="minorHAnsi"/>
          <w:sz w:val="20"/>
          <w:lang w:val="el-GR"/>
        </w:rPr>
        <w:t>μια χρηματοδοτούμε</w:t>
      </w:r>
      <w:r w:rsidR="00811803">
        <w:rPr>
          <w:rFonts w:asciiTheme="minorHAnsi" w:hAnsiTheme="minorHAnsi" w:cstheme="minorHAnsi"/>
          <w:sz w:val="20"/>
          <w:lang w:val="el-GR"/>
        </w:rPr>
        <w:t>νη έρευνα, που τίθεται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κάτω</w:t>
      </w:r>
      <w:r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από το</w:t>
      </w:r>
      <w:r w:rsidR="00324AE4"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 w:rsidR="005B7642">
        <w:rPr>
          <w:rFonts w:asciiTheme="minorHAnsi" w:hAnsiTheme="minorHAnsi" w:cstheme="minorHAnsi"/>
          <w:sz w:val="20"/>
          <w:lang w:val="el-GR"/>
        </w:rPr>
        <w:t xml:space="preserve">Έβδομο </w:t>
      </w:r>
      <w:r w:rsidR="00B71FDA">
        <w:rPr>
          <w:rFonts w:asciiTheme="minorHAnsi" w:hAnsiTheme="minorHAnsi" w:cstheme="minorHAnsi"/>
          <w:sz w:val="20"/>
          <w:lang w:val="el-GR"/>
        </w:rPr>
        <w:t>Πλαίσιο,</w:t>
      </w:r>
      <w:r w:rsidR="008E76A9"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του προγράμματος</w:t>
      </w:r>
      <w:r w:rsidR="008E76A9" w:rsidRPr="008F7EA5">
        <w:rPr>
          <w:rFonts w:asciiTheme="minorHAnsi" w:hAnsiTheme="minorHAnsi" w:cstheme="minorHAnsi"/>
          <w:sz w:val="20"/>
          <w:lang w:val="el-GR"/>
        </w:rPr>
        <w:t xml:space="preserve"> </w:t>
      </w:r>
      <w:r w:rsidR="008E76A9">
        <w:rPr>
          <w:rFonts w:asciiTheme="minorHAnsi" w:hAnsiTheme="minorHAnsi" w:cstheme="minorHAnsi"/>
          <w:sz w:val="20"/>
        </w:rPr>
        <w:t>KBBE</w:t>
      </w:r>
      <w:r w:rsidR="00B71FDA">
        <w:rPr>
          <w:rFonts w:asciiTheme="minorHAnsi" w:hAnsiTheme="minorHAnsi" w:cstheme="minorHAnsi"/>
          <w:sz w:val="20"/>
          <w:lang w:val="el-GR"/>
        </w:rPr>
        <w:t>, το οποίο τρέχει από τον Μάρτιο του</w:t>
      </w:r>
      <w:r w:rsidR="008E76A9" w:rsidRPr="008F7EA5">
        <w:rPr>
          <w:rFonts w:asciiTheme="minorHAnsi" w:hAnsiTheme="minorHAnsi" w:cstheme="minorHAnsi"/>
          <w:sz w:val="20"/>
          <w:lang w:val="el-GR"/>
        </w:rPr>
        <w:t xml:space="preserve"> 2012 </w:t>
      </w:r>
      <w:r w:rsidR="00B71FDA">
        <w:rPr>
          <w:rFonts w:asciiTheme="minorHAnsi" w:hAnsiTheme="minorHAnsi" w:cstheme="minorHAnsi"/>
          <w:sz w:val="20"/>
          <w:lang w:val="el-GR"/>
        </w:rPr>
        <w:t>και μέχρι τον Φεβρουάριο του</w:t>
      </w:r>
      <w:r w:rsidR="008E76A9" w:rsidRPr="008F7EA5">
        <w:rPr>
          <w:rFonts w:asciiTheme="minorHAnsi" w:hAnsiTheme="minorHAnsi" w:cstheme="minorHAnsi"/>
          <w:sz w:val="20"/>
          <w:lang w:val="el-GR"/>
        </w:rPr>
        <w:t xml:space="preserve"> 2017. </w:t>
      </w:r>
      <w:r w:rsidR="00B71FDA">
        <w:rPr>
          <w:rFonts w:asciiTheme="minorHAnsi" w:hAnsiTheme="minorHAnsi" w:cstheme="minorHAnsi"/>
          <w:sz w:val="20"/>
          <w:lang w:val="el-GR"/>
        </w:rPr>
        <w:t>Διαθέτει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17 </w:t>
      </w:r>
      <w:r w:rsidR="00B71FDA">
        <w:rPr>
          <w:rFonts w:asciiTheme="minorHAnsi" w:hAnsiTheme="minorHAnsi" w:cstheme="minorHAnsi"/>
          <w:sz w:val="20"/>
          <w:lang w:val="el-GR"/>
        </w:rPr>
        <w:t>εταίρους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δουλεύοντας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σε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11 </w:t>
      </w:r>
      <w:r w:rsidR="00B71FDA">
        <w:rPr>
          <w:rFonts w:asciiTheme="minorHAnsi" w:hAnsiTheme="minorHAnsi" w:cstheme="minorHAnsi"/>
          <w:sz w:val="20"/>
          <w:lang w:val="el-GR"/>
        </w:rPr>
        <w:t>χώρες,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με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ομάδες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σε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8 </w:t>
      </w:r>
      <w:r w:rsidR="00B71FDA">
        <w:rPr>
          <w:rFonts w:asciiTheme="minorHAnsi" w:hAnsiTheme="minorHAnsi" w:cstheme="minorHAnsi"/>
          <w:sz w:val="20"/>
          <w:lang w:val="el-GR"/>
        </w:rPr>
        <w:t>ευρωπαϊκές</w:t>
      </w:r>
      <w:r w:rsidR="00B71FDA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χώρες –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Γερμανία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Ιταλία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Σουηδία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Ουγγαρία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Κύπρο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Εσθονία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, </w:t>
      </w:r>
      <w:r w:rsidR="00B71FDA">
        <w:rPr>
          <w:rFonts w:asciiTheme="minorHAnsi" w:hAnsiTheme="minorHAnsi" w:cstheme="minorHAnsi"/>
          <w:sz w:val="20"/>
          <w:lang w:val="el-GR"/>
        </w:rPr>
        <w:t>Ισπανία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 w:rsidR="00B71FDA">
        <w:rPr>
          <w:rFonts w:asciiTheme="minorHAnsi" w:hAnsiTheme="minorHAnsi" w:cstheme="minorHAnsi"/>
          <w:sz w:val="20"/>
          <w:lang w:val="el-GR"/>
        </w:rPr>
        <w:t>και Βέλγιο.</w:t>
      </w:r>
    </w:p>
    <w:p w:rsidR="008E76A9" w:rsidRPr="00B71FDA" w:rsidRDefault="008E76A9" w:rsidP="008E76A9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8E76A9" w:rsidRPr="00B71FDA" w:rsidRDefault="00B71FDA" w:rsidP="00C366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 μελέτη έχει δύο αντικειμενικούς στόχους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: </w:t>
      </w:r>
    </w:p>
    <w:p w:rsidR="000C134A" w:rsidRPr="00B71FDA" w:rsidRDefault="00B71FDA" w:rsidP="008E76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Να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κατανοήσει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την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αλληλεπίδραση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ανάμεσα</w:t>
      </w:r>
      <w:r w:rsidR="00811803">
        <w:rPr>
          <w:rFonts w:asciiTheme="minorHAnsi" w:hAnsiTheme="minorHAnsi" w:cstheme="minorHAnsi"/>
          <w:sz w:val="20"/>
          <w:lang w:val="el-GR"/>
        </w:rPr>
        <w:t xml:space="preserve"> στους παράγοντες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που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παρακωλύουν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ή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προωθούν</w:t>
      </w:r>
      <w:r w:rsidRPr="00B71FDA">
        <w:rPr>
          <w:rFonts w:asciiTheme="minorHAnsi" w:hAnsiTheme="minorHAnsi" w:cstheme="minorHAnsi"/>
          <w:sz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lang w:val="el-GR"/>
        </w:rPr>
        <w:t>υγιείς διατροφικές επιλογές</w:t>
      </w:r>
    </w:p>
    <w:p w:rsidR="008E76A9" w:rsidRPr="00B71FDA" w:rsidRDefault="00B71FDA" w:rsidP="008E76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Α</w:t>
      </w:r>
      <w:r w:rsidRPr="00B71FDA">
        <w:rPr>
          <w:rFonts w:asciiTheme="minorHAnsi" w:hAnsiTheme="minorHAnsi" w:cstheme="minorHAnsi"/>
          <w:sz w:val="20"/>
          <w:lang w:val="el-GR"/>
        </w:rPr>
        <w:t>νάπτυξη και διάδοση των στρατηγικών για την πρόκληση αλλαγών που προάγουν</w:t>
      </w:r>
      <w:r w:rsidR="00811803">
        <w:rPr>
          <w:rFonts w:asciiTheme="minorHAnsi" w:hAnsiTheme="minorHAnsi" w:cstheme="minorHAnsi"/>
          <w:sz w:val="20"/>
          <w:lang w:val="el-GR"/>
        </w:rPr>
        <w:t xml:space="preserve"> υγιεί</w:t>
      </w:r>
      <w:r>
        <w:rPr>
          <w:rFonts w:asciiTheme="minorHAnsi" w:hAnsiTheme="minorHAnsi" w:cstheme="minorHAnsi"/>
          <w:sz w:val="20"/>
          <w:lang w:val="el-GR"/>
        </w:rPr>
        <w:t>ς διατροφικές συμπεριφορές στους ευρωπαίους καταναλωτές, ιδίως εφήβους και γονείς.</w:t>
      </w:r>
      <w:r w:rsidR="008E76A9" w:rsidRPr="00B71FDA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8E76A9" w:rsidRPr="00B71FDA" w:rsidRDefault="008E76A9" w:rsidP="008E76A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:rsidR="008E76A9" w:rsidRPr="008543F8" w:rsidRDefault="00B71FDA" w:rsidP="008E76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Η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μελέτη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Ι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>.</w:t>
      </w:r>
      <w:r>
        <w:rPr>
          <w:rFonts w:asciiTheme="minorHAnsi" w:hAnsiTheme="minorHAnsi" w:cstheme="minorHAnsi"/>
          <w:sz w:val="20"/>
          <w:szCs w:val="20"/>
        </w:rPr>
        <w:t>Family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επανεκτιμά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τις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οικογένειες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που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πρώτες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συνδέθηκαν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με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τη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μελέτη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IDEFICS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 –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όταν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τα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παιδιά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ήταν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κάτω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των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δέκα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χρονών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.</w:t>
      </w:r>
      <w:r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Τ</w:t>
      </w:r>
      <w:r>
        <w:rPr>
          <w:rFonts w:asciiTheme="minorHAnsi" w:hAnsiTheme="minorHAnsi" w:cstheme="minorHAnsi"/>
          <w:sz w:val="20"/>
          <w:szCs w:val="20"/>
          <w:lang w:val="el-GR"/>
        </w:rPr>
        <w:t>ώρα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,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που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τα ίδια παιδιά </w:t>
      </w:r>
      <w:r>
        <w:rPr>
          <w:rFonts w:asciiTheme="minorHAnsi" w:hAnsiTheme="minorHAnsi" w:cstheme="minorHAnsi"/>
          <w:sz w:val="20"/>
          <w:szCs w:val="20"/>
          <w:lang w:val="el-GR"/>
        </w:rPr>
        <w:t>προχωρούν στην εφηβεία</w:t>
      </w:r>
      <w:r w:rsidR="008E76A9"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–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τα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E76A9">
        <w:rPr>
          <w:rFonts w:asciiTheme="minorHAnsi" w:hAnsiTheme="minorHAnsi" w:cstheme="minorHAnsi"/>
          <w:sz w:val="20"/>
          <w:szCs w:val="20"/>
        </w:rPr>
        <w:t>tween</w:t>
      </w:r>
      <w:r w:rsidR="008E76A9"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χρόνια</w:t>
      </w:r>
      <w:r>
        <w:rPr>
          <w:rFonts w:asciiTheme="minorHAnsi" w:hAnsiTheme="minorHAnsi" w:cstheme="minorHAnsi"/>
          <w:sz w:val="20"/>
          <w:szCs w:val="20"/>
          <w:lang w:val="el-GR"/>
        </w:rPr>
        <w:t>–</w:t>
      </w:r>
      <w:r w:rsidR="008E76A9"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η </w:t>
      </w:r>
      <w:r w:rsidR="008543F8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8543F8">
        <w:rPr>
          <w:rFonts w:asciiTheme="minorHAnsi" w:hAnsiTheme="minorHAnsi" w:cstheme="minorHAnsi"/>
          <w:sz w:val="20"/>
          <w:szCs w:val="20"/>
          <w:lang w:val="en-US"/>
        </w:rPr>
        <w:t>Family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ξεχωρίζει εκείνες τις οικογένειες που έχουν υιοθετήσει από τότε ένα</w:t>
      </w:r>
      <w:r w:rsidR="005B7642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 υγιή τρό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πο ζωής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, από αυτές που δεν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 xml:space="preserve"> έχουν επιλέξει υγιείς διατροφικές συμπεριφορές</w:t>
      </w:r>
      <w:r w:rsidR="008E76A9" w:rsidRPr="00B71FDA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Η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E76A9">
        <w:rPr>
          <w:rFonts w:asciiTheme="minorHAnsi" w:hAnsiTheme="minorHAnsi" w:cstheme="minorHAnsi"/>
          <w:sz w:val="20"/>
          <w:szCs w:val="20"/>
        </w:rPr>
        <w:t>I</w:t>
      </w:r>
      <w:r w:rsidR="008E76A9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8E76A9">
        <w:rPr>
          <w:rFonts w:asciiTheme="minorHAnsi" w:hAnsiTheme="minorHAnsi" w:cstheme="minorHAnsi"/>
          <w:sz w:val="20"/>
          <w:szCs w:val="20"/>
        </w:rPr>
        <w:t>Family</w:t>
      </w:r>
      <w:r w:rsidR="008E76A9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αξιοποιεί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έναν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ολιστικό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τρόπο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μελέτης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5B7642">
        <w:rPr>
          <w:rFonts w:asciiTheme="minorHAnsi" w:hAnsiTheme="minorHAnsi" w:cstheme="minorHAnsi"/>
          <w:sz w:val="20"/>
          <w:szCs w:val="20"/>
          <w:lang w:val="el-GR"/>
        </w:rPr>
        <w:t>υπολογίζοντας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 xml:space="preserve"> επίσης,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και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τους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βιολογικούς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συμπεριφορικούς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,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κοινωνικούς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και</w:t>
      </w:r>
      <w:r w:rsidR="008543F8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 xml:space="preserve">τους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παράγοντες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 xml:space="preserve"> του περιβάλλοντος,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 που 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καθοδηγούν τη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 xml:space="preserve"> διατροφική συμπεριφορά</w:t>
      </w:r>
      <w:r w:rsidR="00811803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8E76A9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543F8">
        <w:rPr>
          <w:rFonts w:asciiTheme="minorHAnsi" w:hAnsiTheme="minorHAnsi" w:cstheme="minorHAnsi"/>
          <w:sz w:val="20"/>
          <w:szCs w:val="20"/>
          <w:lang w:val="el-GR"/>
        </w:rPr>
        <w:t>καθώς τα παιδιά περνούν από την παιδική ηλικία στην ενηλικίωση.</w:t>
      </w:r>
      <w:r w:rsidR="008E76A9" w:rsidRPr="008543F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706E03" w:rsidRPr="008543F8" w:rsidRDefault="00706E03" w:rsidP="00706E03">
      <w:pPr>
        <w:pStyle w:val="ListParagraph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sz w:val="20"/>
          <w:szCs w:val="20"/>
          <w:lang w:val="el-GR"/>
        </w:rPr>
      </w:pPr>
    </w:p>
    <w:p w:rsidR="00706E03" w:rsidRPr="00706E03" w:rsidRDefault="008543F8" w:rsidP="008E76A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Εταίροι του 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Family</w:t>
      </w:r>
    </w:p>
    <w:p w:rsidR="00706E03" w:rsidRPr="00706E03" w:rsidRDefault="00706E03" w:rsidP="00706E03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2738"/>
      </w:tblGrid>
      <w:tr w:rsidR="00706E03" w:rsidRPr="006D258D" w:rsidTr="001302EE">
        <w:tc>
          <w:tcPr>
            <w:tcW w:w="3510" w:type="dxa"/>
          </w:tcPr>
          <w:p w:rsidR="00706E03" w:rsidRPr="00706E03" w:rsidRDefault="00C156FF" w:rsidP="001302EE">
            <w:pPr>
              <w:spacing w:before="60" w:after="60"/>
              <w:rPr>
                <w:rStyle w:val="Emphasis"/>
                <w:sz w:val="10"/>
              </w:rPr>
            </w:pPr>
            <w:r>
              <w:rPr>
                <w:rStyle w:val="Emphasis"/>
                <w:sz w:val="10"/>
                <w:lang w:val="el-GR"/>
              </w:rPr>
              <w:t>Σ</w:t>
            </w:r>
            <w:r w:rsidRPr="00C156FF">
              <w:rPr>
                <w:rStyle w:val="Emphasis"/>
                <w:sz w:val="10"/>
              </w:rPr>
              <w:t>υμμετέχων οργανισμός</w:t>
            </w:r>
          </w:p>
        </w:tc>
        <w:tc>
          <w:tcPr>
            <w:tcW w:w="2268" w:type="dxa"/>
          </w:tcPr>
          <w:p w:rsidR="00706E03" w:rsidRPr="00C156FF" w:rsidRDefault="00C156FF" w:rsidP="001302EE">
            <w:pPr>
              <w:spacing w:before="60" w:after="60"/>
              <w:rPr>
                <w:rStyle w:val="Emphasis"/>
                <w:sz w:val="10"/>
                <w:lang w:val="el-GR"/>
              </w:rPr>
            </w:pPr>
            <w:r>
              <w:rPr>
                <w:rStyle w:val="Emphasis"/>
                <w:sz w:val="10"/>
                <w:lang w:val="el-GR"/>
              </w:rPr>
              <w:t>Ε</w:t>
            </w:r>
            <w:r w:rsidRPr="00C156FF">
              <w:rPr>
                <w:rStyle w:val="Emphasis"/>
                <w:sz w:val="10"/>
              </w:rPr>
              <w:t>πικεφαλής ερευνητής</w:t>
            </w:r>
            <w:r>
              <w:rPr>
                <w:rStyle w:val="Emphasis"/>
                <w:sz w:val="10"/>
                <w:lang w:val="el-GR"/>
              </w:rPr>
              <w:t>/ές</w:t>
            </w:r>
          </w:p>
        </w:tc>
        <w:tc>
          <w:tcPr>
            <w:tcW w:w="2738" w:type="dxa"/>
          </w:tcPr>
          <w:p w:rsidR="00706E03" w:rsidRPr="00706E03" w:rsidRDefault="00C156FF" w:rsidP="001302EE">
            <w:pPr>
              <w:spacing w:before="60" w:after="60"/>
              <w:rPr>
                <w:rStyle w:val="Emphasis"/>
                <w:sz w:val="10"/>
              </w:rPr>
            </w:pPr>
            <w:r>
              <w:rPr>
                <w:rStyle w:val="Emphasis"/>
                <w:sz w:val="10"/>
                <w:lang w:val="el-GR"/>
              </w:rPr>
              <w:t>Β</w:t>
            </w:r>
            <w:r>
              <w:rPr>
                <w:rStyle w:val="Emphasis"/>
                <w:sz w:val="10"/>
              </w:rPr>
              <w:t>ασικ</w:t>
            </w:r>
            <w:r>
              <w:rPr>
                <w:rStyle w:val="Emphasis"/>
                <w:sz w:val="10"/>
                <w:lang w:val="el-GR"/>
              </w:rPr>
              <w:t>ές</w:t>
            </w:r>
            <w:r w:rsidRPr="00C156FF">
              <w:rPr>
                <w:rStyle w:val="Emphasis"/>
                <w:sz w:val="10"/>
              </w:rPr>
              <w:t xml:space="preserve"> ευθύνες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706E03" w:rsidRDefault="00C156FF" w:rsidP="001302EE">
            <w:pPr>
              <w:spacing w:before="60" w:after="60"/>
              <w:rPr>
                <w:sz w:val="10"/>
              </w:rPr>
            </w:pPr>
            <w:r w:rsidRPr="00C156FF">
              <w:rPr>
                <w:sz w:val="10"/>
              </w:rPr>
              <w:t>Πανεπιστήμιο της Βρέμης, Γερμανία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Wolfgang Ahrens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Συντονιστής του προγράμματος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C156FF" w:rsidRDefault="00706E03" w:rsidP="001302EE">
            <w:pPr>
              <w:spacing w:before="60" w:after="60"/>
              <w:rPr>
                <w:sz w:val="10"/>
                <w:lang w:val="el-GR"/>
              </w:rPr>
            </w:pPr>
            <w:r w:rsidRPr="00706E03">
              <w:rPr>
                <w:sz w:val="10"/>
              </w:rPr>
              <w:t>BIPS</w:t>
            </w:r>
            <w:r w:rsidRPr="00C156FF">
              <w:rPr>
                <w:sz w:val="10"/>
                <w:lang w:val="el-GR"/>
              </w:rPr>
              <w:t xml:space="preserve"> – </w:t>
            </w:r>
            <w:r w:rsidR="00C156FF" w:rsidRPr="00C156FF">
              <w:rPr>
                <w:sz w:val="10"/>
                <w:lang w:val="el-GR"/>
              </w:rPr>
              <w:t xml:space="preserve">Ινστιτούτο Επιδημιολογίας και </w:t>
            </w:r>
            <w:r w:rsidR="00C156FF">
              <w:rPr>
                <w:sz w:val="10"/>
                <w:lang w:val="el-GR"/>
              </w:rPr>
              <w:t>Έρευνας της Πρόληψης</w:t>
            </w:r>
            <w:r w:rsidR="00C156FF" w:rsidRPr="00C156FF">
              <w:rPr>
                <w:sz w:val="10"/>
                <w:lang w:val="el-GR"/>
              </w:rPr>
              <w:t xml:space="preserve"> </w:t>
            </w:r>
            <w:r w:rsidR="00C156FF" w:rsidRPr="00C156FF">
              <w:rPr>
                <w:sz w:val="10"/>
              </w:rPr>
              <w:t>GmbH</w:t>
            </w:r>
            <w:r w:rsidR="00C156FF" w:rsidRPr="00C156FF">
              <w:rPr>
                <w:sz w:val="10"/>
                <w:lang w:val="el-GR"/>
              </w:rPr>
              <w:t>, Γερμανία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Iris Pigeot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Γερμανική ομάδα</w:t>
            </w:r>
            <w:r w:rsidR="00706E03" w:rsidRPr="00706E03">
              <w:rPr>
                <w:sz w:val="10"/>
              </w:rPr>
              <w:t xml:space="preserve">, </w:t>
            </w:r>
            <w:r w:rsidR="005C3BFF">
              <w:rPr>
                <w:sz w:val="10"/>
                <w:lang w:val="el-GR"/>
              </w:rPr>
              <w:t>Σ</w:t>
            </w:r>
            <w:r>
              <w:rPr>
                <w:sz w:val="10"/>
                <w:lang w:val="el-GR"/>
              </w:rPr>
              <w:t>τατιστικές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 w:rsidRPr="00C156FF">
              <w:rPr>
                <w:sz w:val="10"/>
                <w:lang w:val="el-GR"/>
              </w:rPr>
              <w:t xml:space="preserve">Ινστιτούτο </w:t>
            </w:r>
            <w:r>
              <w:rPr>
                <w:sz w:val="10"/>
                <w:lang w:val="el-GR"/>
              </w:rPr>
              <w:t>Επιστημών των Τροφίμων</w:t>
            </w:r>
            <w:r w:rsidRPr="00C156FF">
              <w:rPr>
                <w:sz w:val="10"/>
                <w:lang w:val="el-GR"/>
              </w:rPr>
              <w:t>, Εθνικό Συμβούλιο Έρευνας, Ιταλία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Alfonso Siani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Ιταλική ομάδα</w:t>
            </w:r>
            <w:r w:rsidR="00706E03" w:rsidRPr="00706E03">
              <w:rPr>
                <w:sz w:val="10"/>
              </w:rPr>
              <w:t xml:space="preserve">, </w:t>
            </w:r>
            <w:r>
              <w:rPr>
                <w:sz w:val="10"/>
                <w:lang w:val="el-GR"/>
              </w:rPr>
              <w:t>Διατροφική Επιδημιολογία</w:t>
            </w:r>
          </w:p>
        </w:tc>
      </w:tr>
      <w:tr w:rsidR="00706E03" w:rsidRPr="00587616" w:rsidTr="001302EE">
        <w:tc>
          <w:tcPr>
            <w:tcW w:w="3510" w:type="dxa"/>
          </w:tcPr>
          <w:p w:rsidR="00706E03" w:rsidRPr="00C156FF" w:rsidRDefault="00706E03" w:rsidP="001302EE">
            <w:pPr>
              <w:spacing w:before="60" w:after="60"/>
              <w:rPr>
                <w:sz w:val="10"/>
                <w:lang w:val="el-GR"/>
              </w:rPr>
            </w:pPr>
            <w:r w:rsidRPr="00706E03">
              <w:rPr>
                <w:sz w:val="10"/>
              </w:rPr>
              <w:t xml:space="preserve">Copenhagen Business School, </w:t>
            </w:r>
            <w:r w:rsidR="00C156FF">
              <w:rPr>
                <w:sz w:val="10"/>
                <w:lang w:val="el-GR"/>
              </w:rPr>
              <w:t xml:space="preserve">Δανία 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Lucia Reisch, </w:t>
            </w:r>
            <w:r w:rsidRPr="00706E03">
              <w:rPr>
                <w:sz w:val="10"/>
              </w:rPr>
              <w:br/>
              <w:t>Wencke Gwozdz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Συμπεριφορά του καταναλωτή</w:t>
            </w:r>
            <w:r w:rsidR="00706E03" w:rsidRPr="00C156FF">
              <w:rPr>
                <w:sz w:val="10"/>
                <w:lang w:val="el-GR"/>
              </w:rPr>
              <w:t xml:space="preserve"> &amp; </w:t>
            </w:r>
            <w:r w:rsidR="005C3BFF">
              <w:rPr>
                <w:sz w:val="10"/>
                <w:lang w:val="el-GR"/>
              </w:rPr>
              <w:t>Ε</w:t>
            </w:r>
            <w:r>
              <w:rPr>
                <w:sz w:val="10"/>
                <w:lang w:val="el-GR"/>
              </w:rPr>
              <w:t>πιδράσεις</w:t>
            </w:r>
            <w:r w:rsidR="005C3BFF">
              <w:rPr>
                <w:sz w:val="10"/>
                <w:lang w:val="el-GR"/>
              </w:rPr>
              <w:t xml:space="preserve"> του περιβάλλοντος</w:t>
            </w:r>
          </w:p>
        </w:tc>
      </w:tr>
      <w:tr w:rsidR="00706E03" w:rsidRPr="00587616" w:rsidTr="001302EE">
        <w:tc>
          <w:tcPr>
            <w:tcW w:w="3510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 xml:space="preserve">Πανεπιστήμιο του </w:t>
            </w:r>
            <w:r w:rsidR="00706E03" w:rsidRPr="00706E03">
              <w:rPr>
                <w:sz w:val="10"/>
              </w:rPr>
              <w:t>Lancaster</w:t>
            </w:r>
            <w:r w:rsidR="00706E03" w:rsidRPr="00C156FF">
              <w:rPr>
                <w:sz w:val="10"/>
                <w:lang w:val="el-GR"/>
              </w:rPr>
              <w:t xml:space="preserve">, </w:t>
            </w:r>
            <w:r>
              <w:rPr>
                <w:sz w:val="10"/>
                <w:lang w:val="el-GR"/>
              </w:rPr>
              <w:t>Ηνωμένο Βασίλειο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Garrath Williams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Ηθική</w:t>
            </w:r>
            <w:r w:rsidRPr="00C156FF">
              <w:rPr>
                <w:sz w:val="10"/>
                <w:lang w:val="el-GR"/>
              </w:rPr>
              <w:t xml:space="preserve">, </w:t>
            </w:r>
            <w:r>
              <w:rPr>
                <w:sz w:val="10"/>
                <w:lang w:val="el-GR"/>
              </w:rPr>
              <w:t>πολιτικές και εμπλοκή των ενδιαφερομένων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 xml:space="preserve">Ακαδημία </w:t>
            </w:r>
            <w:r>
              <w:rPr>
                <w:sz w:val="10"/>
              </w:rPr>
              <w:t>Sahlgrenska</w:t>
            </w:r>
            <w:r w:rsidRPr="00C156FF">
              <w:rPr>
                <w:sz w:val="10"/>
                <w:lang w:val="el-GR"/>
              </w:rPr>
              <w:t xml:space="preserve"> </w:t>
            </w:r>
            <w:r>
              <w:rPr>
                <w:sz w:val="10"/>
                <w:lang w:val="el-GR"/>
              </w:rPr>
              <w:t>στο Πανεπιστήμιο</w:t>
            </w:r>
            <w:r w:rsidR="00706E03" w:rsidRPr="00C156FF">
              <w:rPr>
                <w:sz w:val="10"/>
                <w:lang w:val="el-GR"/>
              </w:rPr>
              <w:t xml:space="preserve"> </w:t>
            </w:r>
            <w:r>
              <w:rPr>
                <w:sz w:val="10"/>
                <w:lang w:val="el-GR"/>
              </w:rPr>
              <w:t>του</w:t>
            </w:r>
            <w:r w:rsidR="00706E03" w:rsidRPr="00C156FF">
              <w:rPr>
                <w:sz w:val="10"/>
                <w:lang w:val="el-GR"/>
              </w:rPr>
              <w:t xml:space="preserve"> </w:t>
            </w:r>
            <w:r w:rsidR="00706E03" w:rsidRPr="00706E03">
              <w:rPr>
                <w:sz w:val="10"/>
              </w:rPr>
              <w:t>Gothenburg</w:t>
            </w:r>
            <w:r w:rsidR="00706E03" w:rsidRPr="00C156FF">
              <w:rPr>
                <w:sz w:val="10"/>
                <w:lang w:val="el-GR"/>
              </w:rPr>
              <w:t xml:space="preserve">, </w:t>
            </w:r>
            <w:r>
              <w:rPr>
                <w:sz w:val="10"/>
                <w:lang w:val="el-GR"/>
              </w:rPr>
              <w:t>Σουηδία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Staffan Mårild, </w:t>
            </w:r>
            <w:r w:rsidRPr="00706E03">
              <w:rPr>
                <w:sz w:val="10"/>
              </w:rPr>
              <w:br/>
              <w:t>Lauren Lissner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Σουηδική ομάδα</w:t>
            </w:r>
            <w:r w:rsidR="00706E03" w:rsidRPr="00706E03">
              <w:rPr>
                <w:sz w:val="10"/>
              </w:rPr>
              <w:t>,</w:t>
            </w:r>
            <w:r w:rsidR="005C3BFF">
              <w:rPr>
                <w:sz w:val="10"/>
                <w:lang w:val="el-GR"/>
              </w:rPr>
              <w:t xml:space="preserve"> Ο</w:t>
            </w:r>
            <w:r>
              <w:rPr>
                <w:sz w:val="10"/>
                <w:lang w:val="el-GR"/>
              </w:rPr>
              <w:t>ικογενειακή ανάλυση</w:t>
            </w:r>
          </w:p>
        </w:tc>
      </w:tr>
      <w:tr w:rsidR="00706E03" w:rsidRPr="00587616" w:rsidTr="001302EE">
        <w:tc>
          <w:tcPr>
            <w:tcW w:w="3510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 xml:space="preserve">Πανεπιστήμιο του </w:t>
            </w:r>
            <w:r w:rsidR="00706E03" w:rsidRPr="00706E03">
              <w:rPr>
                <w:sz w:val="10"/>
              </w:rPr>
              <w:t xml:space="preserve">Helsinki, </w:t>
            </w:r>
            <w:r>
              <w:rPr>
                <w:sz w:val="10"/>
                <w:lang w:val="el-GR"/>
              </w:rPr>
              <w:t>Φινλανδία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Jaakko Kaprio</w:t>
            </w:r>
          </w:p>
        </w:tc>
        <w:tc>
          <w:tcPr>
            <w:tcW w:w="2738" w:type="dxa"/>
          </w:tcPr>
          <w:p w:rsidR="00706E03" w:rsidRPr="00C156FF" w:rsidRDefault="00C156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Οικογενειακά σύνολα</w:t>
            </w:r>
            <w:r w:rsidRPr="00C156FF">
              <w:rPr>
                <w:sz w:val="10"/>
                <w:lang w:val="el-GR"/>
              </w:rPr>
              <w:t xml:space="preserve"> και γενετική μοντελοποίηση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</w:rPr>
              <w:t xml:space="preserve">University of the Baleares Islands, </w:t>
            </w:r>
            <w:r w:rsidR="005C3BFF">
              <w:rPr>
                <w:sz w:val="10"/>
                <w:lang w:val="el-GR"/>
              </w:rPr>
              <w:t>Ισπανία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Andreu Palou, </w:t>
            </w:r>
            <w:r w:rsidRPr="00706E03">
              <w:rPr>
                <w:sz w:val="10"/>
              </w:rPr>
              <w:br/>
              <w:t>Catalina Picó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Γ</w:t>
            </w:r>
            <w:r w:rsidRPr="005C3BFF">
              <w:rPr>
                <w:sz w:val="10"/>
                <w:lang w:val="el-GR"/>
              </w:rPr>
              <w:t>ονιδιωματική ανάλυση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l-GR"/>
              </w:rPr>
            </w:pPr>
            <w:r w:rsidRPr="00706E03">
              <w:rPr>
                <w:sz w:val="10"/>
              </w:rPr>
              <w:t xml:space="preserve">University of Pécs, </w:t>
            </w:r>
            <w:r w:rsidR="005C3BFF">
              <w:rPr>
                <w:sz w:val="10"/>
                <w:lang w:val="el-GR"/>
              </w:rPr>
              <w:t>Ουγγαρία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Dénes Molnár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Ουγγρική ομάδα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</w:rPr>
              <w:t xml:space="preserve">Rudolf Magnus Institute of Neuroscience, </w:t>
            </w:r>
            <w:r w:rsidR="005C3BFF">
              <w:rPr>
                <w:sz w:val="10"/>
                <w:lang w:val="el-GR"/>
              </w:rPr>
              <w:t>Ολλανδία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Roger Adan</w:t>
            </w:r>
          </w:p>
        </w:tc>
        <w:tc>
          <w:tcPr>
            <w:tcW w:w="2738" w:type="dxa"/>
          </w:tcPr>
          <w:p w:rsidR="00706E03" w:rsidRPr="00706E03" w:rsidRDefault="005C3BFF" w:rsidP="001302EE">
            <w:pPr>
              <w:spacing w:before="60" w:after="60"/>
              <w:rPr>
                <w:sz w:val="10"/>
              </w:rPr>
            </w:pPr>
            <w:r>
              <w:rPr>
                <w:sz w:val="10"/>
              </w:rPr>
              <w:t>Νευροαπεικόνιση</w:t>
            </w:r>
            <w:r>
              <w:rPr>
                <w:sz w:val="10"/>
                <w:lang w:val="el-GR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z w:val="10"/>
                <w:lang w:val="el-GR"/>
              </w:rPr>
              <w:t>Ν</w:t>
            </w:r>
            <w:r w:rsidRPr="005C3BFF">
              <w:rPr>
                <w:sz w:val="10"/>
              </w:rPr>
              <w:t>ευροψυχολογία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</w:rPr>
              <w:t xml:space="preserve">Research and Education Institute of Child Health, </w:t>
            </w:r>
            <w:r w:rsidR="005C3BFF">
              <w:rPr>
                <w:sz w:val="10"/>
                <w:lang w:val="el-GR"/>
              </w:rPr>
              <w:t>Κύπρος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Michael Tornaritis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Κυπριακή ομάδα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</w:rPr>
              <w:t xml:space="preserve">National Institute for Health Development, </w:t>
            </w:r>
            <w:r w:rsidR="005C3BFF">
              <w:rPr>
                <w:sz w:val="10"/>
                <w:lang w:val="el-GR"/>
              </w:rPr>
              <w:t>Εσθονία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Toomas Veidebaum</w:t>
            </w:r>
          </w:p>
        </w:tc>
        <w:tc>
          <w:tcPr>
            <w:tcW w:w="2738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l-GR"/>
              </w:rPr>
            </w:pPr>
            <w:r w:rsidRPr="00706E03">
              <w:rPr>
                <w:sz w:val="10"/>
              </w:rPr>
              <w:t>E</w:t>
            </w:r>
            <w:r w:rsidR="005C3BFF">
              <w:rPr>
                <w:sz w:val="10"/>
                <w:lang w:val="el-GR"/>
              </w:rPr>
              <w:t>σθονική ομάδα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  <w:lang w:val="it-IT"/>
              </w:rPr>
              <w:t>Fondazione IRCCS Istituto Nazionale Tumori</w:t>
            </w:r>
            <w:r w:rsidRPr="00706E03">
              <w:rPr>
                <w:sz w:val="10"/>
              </w:rPr>
              <w:t xml:space="preserve">, </w:t>
            </w:r>
            <w:r w:rsidR="005C3BFF">
              <w:rPr>
                <w:sz w:val="10"/>
                <w:lang w:val="el-GR"/>
              </w:rPr>
              <w:t>Ιταλία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Vittorio Krogh</w:t>
            </w:r>
          </w:p>
        </w:tc>
        <w:tc>
          <w:tcPr>
            <w:tcW w:w="2738" w:type="dxa"/>
          </w:tcPr>
          <w:p w:rsidR="00706E03" w:rsidRPr="00706E03" w:rsidRDefault="005C3BFF" w:rsidP="001302EE">
            <w:pPr>
              <w:spacing w:before="60" w:after="60"/>
              <w:rPr>
                <w:sz w:val="10"/>
              </w:rPr>
            </w:pPr>
            <w:r>
              <w:rPr>
                <w:sz w:val="10"/>
              </w:rPr>
              <w:t>Διαιτητικ</w:t>
            </w:r>
            <w:r>
              <w:rPr>
                <w:sz w:val="10"/>
                <w:lang w:val="el-GR"/>
              </w:rPr>
              <w:t>ές</w:t>
            </w:r>
            <w:r w:rsidRPr="005C3BFF">
              <w:rPr>
                <w:sz w:val="10"/>
              </w:rPr>
              <w:t xml:space="preserve"> μέθοδοι αξιολόγησης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n-US"/>
              </w:rPr>
            </w:pPr>
            <w:r w:rsidRPr="00706E03">
              <w:rPr>
                <w:sz w:val="10"/>
              </w:rPr>
              <w:t>University of Bristol,</w:t>
            </w:r>
            <w:r w:rsidR="005C3BFF" w:rsidRPr="005C3BFF">
              <w:rPr>
                <w:sz w:val="10"/>
                <w:lang w:val="en-US"/>
              </w:rPr>
              <w:t xml:space="preserve"> </w:t>
            </w:r>
            <w:r w:rsidR="005C3BFF">
              <w:rPr>
                <w:sz w:val="10"/>
                <w:lang w:val="el-GR"/>
              </w:rPr>
              <w:t>Ηνωμένο</w:t>
            </w:r>
            <w:r w:rsidR="005C3BFF" w:rsidRPr="005C3BFF">
              <w:rPr>
                <w:sz w:val="10"/>
                <w:lang w:val="en-US"/>
              </w:rPr>
              <w:t xml:space="preserve"> </w:t>
            </w:r>
            <w:r w:rsidR="005C3BFF">
              <w:rPr>
                <w:sz w:val="10"/>
                <w:lang w:val="el-GR"/>
              </w:rPr>
              <w:t>Βασίλειο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Angie Page, </w:t>
            </w:r>
            <w:r w:rsidRPr="00706E03">
              <w:rPr>
                <w:sz w:val="10"/>
              </w:rPr>
              <w:br/>
              <w:t>Ashley Cooper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 xml:space="preserve">Επίβλεψη </w:t>
            </w:r>
            <w:r w:rsidRPr="005C3BFF">
              <w:rPr>
                <w:sz w:val="10"/>
              </w:rPr>
              <w:t>σωματική</w:t>
            </w:r>
            <w:r>
              <w:rPr>
                <w:sz w:val="10"/>
                <w:lang w:val="el-GR"/>
              </w:rPr>
              <w:t>ς</w:t>
            </w:r>
            <w:r w:rsidRPr="005C3BFF">
              <w:rPr>
                <w:sz w:val="10"/>
              </w:rPr>
              <w:t xml:space="preserve"> δραστηριότητα</w:t>
            </w:r>
            <w:r>
              <w:rPr>
                <w:sz w:val="10"/>
                <w:lang w:val="el-GR"/>
              </w:rPr>
              <w:t>ς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Minerva PRC Ltd, </w:t>
            </w:r>
            <w:r w:rsidR="005C3BFF">
              <w:rPr>
                <w:sz w:val="10"/>
                <w:lang w:val="el-GR"/>
              </w:rPr>
              <w:t>Ηνωμένο</w:t>
            </w:r>
            <w:r w:rsidR="005C3BFF" w:rsidRPr="005C3BFF">
              <w:rPr>
                <w:sz w:val="10"/>
              </w:rPr>
              <w:t xml:space="preserve"> </w:t>
            </w:r>
            <w:r w:rsidR="005C3BFF">
              <w:rPr>
                <w:sz w:val="10"/>
                <w:lang w:val="el-GR"/>
              </w:rPr>
              <w:t>Βασίλειο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 xml:space="preserve">Rhonda Smith, </w:t>
            </w:r>
            <w:r w:rsidRPr="00706E03">
              <w:rPr>
                <w:sz w:val="10"/>
              </w:rPr>
              <w:br/>
              <w:t>Marc Catchpole</w:t>
            </w:r>
          </w:p>
        </w:tc>
        <w:tc>
          <w:tcPr>
            <w:tcW w:w="2738" w:type="dxa"/>
          </w:tcPr>
          <w:p w:rsidR="00706E03" w:rsidRPr="00706E03" w:rsidRDefault="005C3BFF" w:rsidP="001302EE">
            <w:pPr>
              <w:spacing w:before="60" w:after="60"/>
              <w:rPr>
                <w:sz w:val="10"/>
              </w:rPr>
            </w:pPr>
            <w:r w:rsidRPr="005C3BFF">
              <w:rPr>
                <w:sz w:val="10"/>
              </w:rPr>
              <w:t>Διάδοση και επικοινωνία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706E03" w:rsidP="001302EE">
            <w:pPr>
              <w:spacing w:before="60" w:after="60"/>
              <w:rPr>
                <w:sz w:val="10"/>
                <w:lang w:val="el-GR"/>
              </w:rPr>
            </w:pPr>
            <w:r w:rsidRPr="00706E03">
              <w:rPr>
                <w:sz w:val="10"/>
              </w:rPr>
              <w:t xml:space="preserve">University of Zaragoza, </w:t>
            </w:r>
            <w:r w:rsidR="005C3BFF">
              <w:rPr>
                <w:sz w:val="10"/>
                <w:lang w:val="el-GR"/>
              </w:rPr>
              <w:t>Ισπανία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Luis Moreno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Ισπανική ομάδα</w:t>
            </w:r>
          </w:p>
        </w:tc>
      </w:tr>
      <w:tr w:rsidR="00706E03" w:rsidRPr="006D258D" w:rsidTr="001302EE">
        <w:tc>
          <w:tcPr>
            <w:tcW w:w="3510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</w:rPr>
              <w:t>Ghent University, Β</w:t>
            </w:r>
            <w:r>
              <w:rPr>
                <w:sz w:val="10"/>
                <w:lang w:val="el-GR"/>
              </w:rPr>
              <w:t>έλγιο</w:t>
            </w:r>
          </w:p>
        </w:tc>
        <w:tc>
          <w:tcPr>
            <w:tcW w:w="2268" w:type="dxa"/>
          </w:tcPr>
          <w:p w:rsidR="00706E03" w:rsidRPr="00706E03" w:rsidRDefault="00706E03" w:rsidP="001302EE">
            <w:pPr>
              <w:spacing w:before="60" w:after="60"/>
              <w:rPr>
                <w:sz w:val="10"/>
              </w:rPr>
            </w:pPr>
            <w:r w:rsidRPr="00706E03">
              <w:rPr>
                <w:sz w:val="10"/>
              </w:rPr>
              <w:t>Stefaan De Henauw</w:t>
            </w:r>
          </w:p>
        </w:tc>
        <w:tc>
          <w:tcPr>
            <w:tcW w:w="2738" w:type="dxa"/>
          </w:tcPr>
          <w:p w:rsidR="00706E03" w:rsidRPr="005C3BFF" w:rsidRDefault="005C3BFF" w:rsidP="001302EE">
            <w:pPr>
              <w:spacing w:before="60" w:after="60"/>
              <w:rPr>
                <w:sz w:val="10"/>
                <w:lang w:val="el-GR"/>
              </w:rPr>
            </w:pPr>
            <w:r>
              <w:rPr>
                <w:sz w:val="10"/>
                <w:lang w:val="el-GR"/>
              </w:rPr>
              <w:t>Βελγική ομάδα</w:t>
            </w:r>
          </w:p>
        </w:tc>
      </w:tr>
    </w:tbl>
    <w:p w:rsidR="005172C5" w:rsidRPr="00706E03" w:rsidRDefault="005C3BFF" w:rsidP="00706E03">
      <w:pPr>
        <w:pStyle w:val="Heading3"/>
        <w:rPr>
          <w:rFonts w:asciiTheme="minorHAnsi" w:hAnsiTheme="minorHAnsi" w:cstheme="minorHAnsi"/>
          <w:bCs/>
          <w:sz w:val="24"/>
          <w:szCs w:val="40"/>
          <w:lang w:eastAsia="en-GB"/>
        </w:rPr>
      </w:pPr>
      <w:r>
        <w:rPr>
          <w:rFonts w:asciiTheme="minorHAnsi" w:hAnsiTheme="minorHAnsi"/>
          <w:sz w:val="24"/>
          <w:szCs w:val="24"/>
          <w:lang w:val="el-GR" w:eastAsia="en-GB"/>
        </w:rPr>
        <w:t>Σημειώσεις</w:t>
      </w:r>
      <w:r>
        <w:rPr>
          <w:sz w:val="24"/>
          <w:szCs w:val="24"/>
          <w:lang w:val="en-US" w:eastAsia="en-GB"/>
        </w:rPr>
        <w:t>/</w:t>
      </w:r>
      <w:r>
        <w:rPr>
          <w:rFonts w:asciiTheme="minorHAnsi" w:hAnsiTheme="minorHAnsi"/>
          <w:sz w:val="24"/>
          <w:szCs w:val="24"/>
          <w:lang w:val="el-GR" w:eastAsia="en-GB"/>
        </w:rPr>
        <w:t>Τέλος</w:t>
      </w:r>
      <w:r w:rsidR="000D6B56" w:rsidRPr="00706E03">
        <w:rPr>
          <w:sz w:val="24"/>
          <w:szCs w:val="24"/>
          <w:lang w:val="en-US" w:eastAsia="en-GB"/>
        </w:rPr>
        <w:t xml:space="preserve"> </w:t>
      </w:r>
    </w:p>
    <w:sectPr w:rsidR="005172C5" w:rsidRPr="00706E03" w:rsidSect="000D0509">
      <w:footerReference w:type="default" r:id="rId11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01" w:rsidRDefault="00651B01" w:rsidP="00D040BE">
      <w:pPr>
        <w:spacing w:after="0" w:line="240" w:lineRule="auto"/>
      </w:pPr>
      <w:r>
        <w:separator/>
      </w:r>
    </w:p>
  </w:endnote>
  <w:endnote w:type="continuationSeparator" w:id="0">
    <w:p w:rsidR="00651B01" w:rsidRDefault="00651B01" w:rsidP="00D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F2" w:rsidRPr="005172C5" w:rsidRDefault="00347C02" w:rsidP="00221009">
    <w:pPr>
      <w:pStyle w:val="Footer"/>
      <w:pBdr>
        <w:top w:val="thinThickSmallGap" w:sz="24" w:space="1" w:color="622423"/>
      </w:pBdr>
      <w:tabs>
        <w:tab w:val="clear" w:pos="4513"/>
      </w:tabs>
      <w:rPr>
        <w:rFonts w:asciiTheme="minorHAnsi" w:hAnsiTheme="minorHAnsi" w:cstheme="minorHAnsi"/>
      </w:rPr>
    </w:pPr>
    <w:r>
      <w:rPr>
        <w:b/>
        <w:bCs/>
        <w:noProof/>
        <w:sz w:val="28"/>
        <w:szCs w:val="28"/>
        <w:lang w:eastAsia="en-GB"/>
      </w:rPr>
      <w:drawing>
        <wp:inline distT="0" distB="0" distL="0" distR="0">
          <wp:extent cx="336550" cy="3365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2C5">
      <w:rPr>
        <w:b/>
        <w:bCs/>
        <w:sz w:val="18"/>
        <w:szCs w:val="18"/>
      </w:rPr>
      <w:t xml:space="preserve">  </w:t>
    </w:r>
    <w:r>
      <w:rPr>
        <w:b/>
        <w:bCs/>
        <w:sz w:val="18"/>
        <w:szCs w:val="18"/>
      </w:rPr>
      <w:t xml:space="preserve"> </w:t>
    </w:r>
    <w:r w:rsidR="005172C5">
      <w:rPr>
        <w:b/>
        <w:bCs/>
        <w:sz w:val="18"/>
        <w:szCs w:val="18"/>
      </w:rPr>
      <w:t xml:space="preserve">I.Family is </w:t>
    </w:r>
    <w:r>
      <w:rPr>
        <w:b/>
        <w:bCs/>
        <w:sz w:val="18"/>
        <w:szCs w:val="18"/>
      </w:rPr>
      <w:t xml:space="preserve">EC funded Project No. </w:t>
    </w:r>
    <w:r w:rsidR="005172C5">
      <w:rPr>
        <w:b/>
        <w:bCs/>
        <w:sz w:val="18"/>
        <w:szCs w:val="18"/>
      </w:rPr>
      <w:t>266044 building on the IDEFICS study</w:t>
    </w:r>
    <w:r w:rsidR="009C0AF2" w:rsidRPr="00D040BE">
      <w:rPr>
        <w:b/>
        <w:bCs/>
        <w:sz w:val="18"/>
        <w:szCs w:val="18"/>
      </w:rPr>
      <w:tab/>
    </w:r>
    <w:r w:rsidR="009C0AF2" w:rsidRPr="005172C5">
      <w:rPr>
        <w:rFonts w:asciiTheme="minorHAnsi" w:hAnsiTheme="minorHAnsi" w:cstheme="minorHAnsi"/>
        <w:b/>
        <w:bCs/>
        <w:sz w:val="18"/>
        <w:szCs w:val="18"/>
      </w:rPr>
      <w:t>Page</w:t>
    </w:r>
    <w:r w:rsidR="005172C5" w:rsidRPr="005172C5"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2E6EAF" w:rsidRPr="005172C5">
      <w:rPr>
        <w:rFonts w:asciiTheme="minorHAnsi" w:hAnsiTheme="minorHAnsi" w:cstheme="minorHAnsi"/>
        <w:b/>
        <w:sz w:val="18"/>
        <w:szCs w:val="18"/>
      </w:rPr>
      <w:fldChar w:fldCharType="begin"/>
    </w:r>
    <w:r w:rsidR="00564E4A" w:rsidRPr="005172C5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="002E6EAF" w:rsidRPr="005172C5">
      <w:rPr>
        <w:rFonts w:asciiTheme="minorHAnsi" w:hAnsiTheme="minorHAnsi" w:cstheme="minorHAnsi"/>
        <w:b/>
        <w:sz w:val="18"/>
        <w:szCs w:val="18"/>
      </w:rPr>
      <w:fldChar w:fldCharType="separate"/>
    </w:r>
    <w:r w:rsidR="0028504A">
      <w:rPr>
        <w:rFonts w:asciiTheme="minorHAnsi" w:hAnsiTheme="minorHAnsi" w:cstheme="minorHAnsi"/>
        <w:b/>
        <w:noProof/>
        <w:sz w:val="18"/>
        <w:szCs w:val="18"/>
      </w:rPr>
      <w:t>1</w:t>
    </w:r>
    <w:r w:rsidR="002E6EAF" w:rsidRPr="005172C5">
      <w:rPr>
        <w:rFonts w:asciiTheme="minorHAnsi" w:hAnsiTheme="minorHAnsi" w:cstheme="minorHAnsi"/>
        <w:b/>
        <w:noProof/>
        <w:sz w:val="18"/>
        <w:szCs w:val="18"/>
      </w:rPr>
      <w:fldChar w:fldCharType="end"/>
    </w:r>
  </w:p>
  <w:p w:rsidR="009C0AF2" w:rsidRDefault="009C0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01" w:rsidRDefault="00651B01" w:rsidP="00D040BE">
      <w:pPr>
        <w:spacing w:after="0" w:line="240" w:lineRule="auto"/>
      </w:pPr>
      <w:r>
        <w:separator/>
      </w:r>
    </w:p>
  </w:footnote>
  <w:footnote w:type="continuationSeparator" w:id="0">
    <w:p w:rsidR="00651B01" w:rsidRDefault="00651B01" w:rsidP="00D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6DD"/>
    <w:multiLevelType w:val="hybridMultilevel"/>
    <w:tmpl w:val="1612FDBE"/>
    <w:lvl w:ilvl="0" w:tplc="91064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02B5E"/>
    <w:multiLevelType w:val="hybridMultilevel"/>
    <w:tmpl w:val="2160E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C5C80"/>
    <w:multiLevelType w:val="multilevel"/>
    <w:tmpl w:val="C6D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D34052"/>
    <w:multiLevelType w:val="hybridMultilevel"/>
    <w:tmpl w:val="C6369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3F7595"/>
    <w:multiLevelType w:val="hybridMultilevel"/>
    <w:tmpl w:val="62D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9"/>
    <w:rsid w:val="00062BA9"/>
    <w:rsid w:val="00095906"/>
    <w:rsid w:val="00096668"/>
    <w:rsid w:val="000B6BA6"/>
    <w:rsid w:val="000C134A"/>
    <w:rsid w:val="000C5CF3"/>
    <w:rsid w:val="000D0509"/>
    <w:rsid w:val="000D5136"/>
    <w:rsid w:val="000D6B56"/>
    <w:rsid w:val="000F3FC5"/>
    <w:rsid w:val="001017CF"/>
    <w:rsid w:val="00177469"/>
    <w:rsid w:val="001A6826"/>
    <w:rsid w:val="001F582B"/>
    <w:rsid w:val="00204099"/>
    <w:rsid w:val="00204796"/>
    <w:rsid w:val="00221009"/>
    <w:rsid w:val="002645D5"/>
    <w:rsid w:val="00267CCD"/>
    <w:rsid w:val="0028504A"/>
    <w:rsid w:val="002A2A44"/>
    <w:rsid w:val="002E6EAF"/>
    <w:rsid w:val="00317E86"/>
    <w:rsid w:val="00324AE4"/>
    <w:rsid w:val="00347C02"/>
    <w:rsid w:val="00377639"/>
    <w:rsid w:val="003C556D"/>
    <w:rsid w:val="004172C6"/>
    <w:rsid w:val="00420D44"/>
    <w:rsid w:val="004B4C32"/>
    <w:rsid w:val="005172C5"/>
    <w:rsid w:val="0055446C"/>
    <w:rsid w:val="00564E4A"/>
    <w:rsid w:val="00587616"/>
    <w:rsid w:val="005974FE"/>
    <w:rsid w:val="005A4261"/>
    <w:rsid w:val="005B7642"/>
    <w:rsid w:val="005C3BFF"/>
    <w:rsid w:val="005D33E4"/>
    <w:rsid w:val="005E6D2C"/>
    <w:rsid w:val="00624D03"/>
    <w:rsid w:val="00633E52"/>
    <w:rsid w:val="006512B6"/>
    <w:rsid w:val="00651B01"/>
    <w:rsid w:val="0069064A"/>
    <w:rsid w:val="006F1788"/>
    <w:rsid w:val="00706E03"/>
    <w:rsid w:val="00721F1F"/>
    <w:rsid w:val="0074400E"/>
    <w:rsid w:val="00771C64"/>
    <w:rsid w:val="007C2F66"/>
    <w:rsid w:val="007D2285"/>
    <w:rsid w:val="007D34F5"/>
    <w:rsid w:val="00806558"/>
    <w:rsid w:val="00811803"/>
    <w:rsid w:val="008543F8"/>
    <w:rsid w:val="00892D2F"/>
    <w:rsid w:val="008D4A84"/>
    <w:rsid w:val="008E76A9"/>
    <w:rsid w:val="008F7EA5"/>
    <w:rsid w:val="009067C7"/>
    <w:rsid w:val="00974B50"/>
    <w:rsid w:val="00997605"/>
    <w:rsid w:val="009A39E8"/>
    <w:rsid w:val="009C0AF2"/>
    <w:rsid w:val="009C37FB"/>
    <w:rsid w:val="009E067A"/>
    <w:rsid w:val="00A6292B"/>
    <w:rsid w:val="00A96467"/>
    <w:rsid w:val="00AA59A1"/>
    <w:rsid w:val="00AA7BC3"/>
    <w:rsid w:val="00AB2C97"/>
    <w:rsid w:val="00B05C59"/>
    <w:rsid w:val="00B36B74"/>
    <w:rsid w:val="00B71FDA"/>
    <w:rsid w:val="00B904E7"/>
    <w:rsid w:val="00BA637E"/>
    <w:rsid w:val="00BB6D02"/>
    <w:rsid w:val="00BC60D0"/>
    <w:rsid w:val="00C1418F"/>
    <w:rsid w:val="00C156FF"/>
    <w:rsid w:val="00C366DC"/>
    <w:rsid w:val="00C81E1A"/>
    <w:rsid w:val="00CC724F"/>
    <w:rsid w:val="00CE6471"/>
    <w:rsid w:val="00D040BE"/>
    <w:rsid w:val="00D8512E"/>
    <w:rsid w:val="00DA6AB9"/>
    <w:rsid w:val="00DC7556"/>
    <w:rsid w:val="00DD5C24"/>
    <w:rsid w:val="00E02D0E"/>
    <w:rsid w:val="00E03ABB"/>
    <w:rsid w:val="00E870D7"/>
    <w:rsid w:val="00E912B9"/>
    <w:rsid w:val="00ED0ADD"/>
    <w:rsid w:val="00EF2770"/>
    <w:rsid w:val="00F66FE0"/>
    <w:rsid w:val="00FB2AFB"/>
    <w:rsid w:val="00FB5C02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99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Footer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99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30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3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familystudy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C7BF-B837-4A8C-A863-2B056926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10Media Information</vt:lpstr>
    </vt:vector>
  </TitlesOfParts>
  <Company>Microsoft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10Media Information</dc:title>
  <dc:creator>Rhonda</dc:creator>
  <cp:lastModifiedBy> </cp:lastModifiedBy>
  <cp:revision>2</cp:revision>
  <cp:lastPrinted>2012-07-10T13:54:00Z</cp:lastPrinted>
  <dcterms:created xsi:type="dcterms:W3CDTF">2012-11-26T10:05:00Z</dcterms:created>
  <dcterms:modified xsi:type="dcterms:W3CDTF">2012-11-26T10:05:00Z</dcterms:modified>
</cp:coreProperties>
</file>