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02" w:rsidRPr="00347C02" w:rsidRDefault="00347C02" w:rsidP="009C37FB">
      <w:pPr>
        <w:rPr>
          <w:rStyle w:val="Emphasis"/>
          <w:b/>
          <w:bCs/>
          <w:i w:val="0"/>
          <w:sz w:val="20"/>
          <w:szCs w:val="2"/>
        </w:rPr>
      </w:pPr>
      <w:r>
        <w:rPr>
          <w:noProof/>
          <w:lang w:val="en-GB" w:eastAsia="en-GB" w:bidi="ar-SA"/>
        </w:rPr>
        <w:drawing>
          <wp:inline distT="0" distB="0" distL="0" distR="0" wp14:anchorId="3DC8ECE4" wp14:editId="6034CB61">
            <wp:extent cx="1739900" cy="685800"/>
            <wp:effectExtent l="0" t="0" r="0" b="0"/>
            <wp:docPr id="12" name="Picture 12" descr="P:\IFamily\Artwork\i.family(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Family\Artwork\i.family(A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685800"/>
                    </a:xfrm>
                    <a:prstGeom prst="rect">
                      <a:avLst/>
                    </a:prstGeom>
                    <a:noFill/>
                    <a:ln>
                      <a:noFill/>
                    </a:ln>
                  </pic:spPr>
                </pic:pic>
              </a:graphicData>
            </a:graphic>
          </wp:inline>
        </w:drawing>
      </w:r>
      <w:r>
        <w:rPr>
          <w:rStyle w:val="Emphasis"/>
          <w:b/>
          <w:bCs/>
          <w:sz w:val="2"/>
          <w:szCs w:val="2"/>
        </w:rPr>
        <w:t xml:space="preserve">                                               </w:t>
      </w:r>
      <w:r>
        <w:rPr>
          <w:rStyle w:val="Emphasis"/>
          <w:b/>
          <w:bCs/>
          <w:sz w:val="28"/>
          <w:szCs w:val="2"/>
        </w:rPr>
        <w:t xml:space="preserve">     </w:t>
      </w:r>
      <w:r>
        <w:rPr>
          <w:rStyle w:val="Emphasis"/>
          <w:b/>
          <w:bCs/>
          <w:i w:val="0"/>
          <w:sz w:val="32"/>
          <w:szCs w:val="2"/>
        </w:rPr>
        <w:t xml:space="preserve">INFORMATION TIL PRESSEN       </w:t>
      </w:r>
      <w:hyperlink r:id="rId10">
        <w:r>
          <w:rPr>
            <w:rStyle w:val="Hyperlink"/>
            <w:b/>
            <w:bCs/>
            <w:sz w:val="20"/>
            <w:szCs w:val="2"/>
          </w:rPr>
          <w:t>www.ifamilystudy.eu</w:t>
        </w:r>
      </w:hyperlink>
      <w:r>
        <w:rPr>
          <w:rStyle w:val="Emphasis"/>
          <w:b/>
          <w:bCs/>
          <w:i w:val="0"/>
          <w:sz w:val="20"/>
          <w:szCs w:val="2"/>
        </w:rPr>
        <w:t xml:space="preserve"> </w:t>
      </w:r>
    </w:p>
    <w:p w:rsidR="00347C02" w:rsidRPr="00347C02" w:rsidRDefault="00347C02" w:rsidP="009C37FB">
      <w:pPr>
        <w:rPr>
          <w:rStyle w:val="Emphasis"/>
          <w:i w:val="0"/>
          <w:iCs w:val="0"/>
          <w:sz w:val="18"/>
          <w:szCs w:val="18"/>
        </w:rPr>
      </w:pPr>
      <w:r>
        <w:rPr>
          <w:rStyle w:val="Emphasis"/>
          <w:b/>
          <w:bCs/>
          <w:sz w:val="18"/>
          <w:szCs w:val="18"/>
        </w:rPr>
        <w:t xml:space="preserve">I.Family undersøger, hvordan faktorer som valg af mad, livsstil og helbred på virker europæiske børn, unge og deres forældre </w:t>
      </w:r>
      <w:r>
        <w:rPr>
          <w:sz w:val="18"/>
          <w:szCs w:val="18"/>
        </w:rPr>
        <w:t xml:space="preserve"> </w:t>
      </w:r>
      <w:r>
        <w:rPr>
          <w:rStyle w:val="Emphasis"/>
          <w:b/>
          <w:bCs/>
          <w:i w:val="0"/>
          <w:sz w:val="28"/>
          <w:szCs w:val="2"/>
        </w:rPr>
        <w:t>______________________________________________________________</w:t>
      </w:r>
    </w:p>
    <w:p w:rsidR="009C0AF2" w:rsidRDefault="00177469" w:rsidP="007D34F5">
      <w:pPr>
        <w:shd w:val="clear" w:color="auto" w:fill="FFFFFF"/>
        <w:spacing w:after="0" w:line="240" w:lineRule="auto"/>
        <w:rPr>
          <w:rFonts w:ascii="Verdana" w:hAnsi="Verdana" w:cs="Verdana"/>
          <w:color w:val="333333"/>
          <w:sz w:val="18"/>
          <w:szCs w:val="18"/>
        </w:rPr>
      </w:pPr>
      <w:r>
        <w:rPr>
          <w:rFonts w:ascii="Verdana" w:hAnsi="Verdana"/>
          <w:b/>
          <w:bCs/>
          <w:color w:val="333333"/>
          <w:sz w:val="18"/>
          <w:szCs w:val="18"/>
        </w:rPr>
        <w:t xml:space="preserve">18 Oktober 2012                                    </w:t>
      </w:r>
      <w:r>
        <w:rPr>
          <w:rFonts w:ascii="Verdana" w:hAnsi="Verdana"/>
          <w:color w:val="333333"/>
          <w:sz w:val="18"/>
          <w:szCs w:val="18"/>
        </w:rPr>
        <w:t xml:space="preserve">                      </w:t>
      </w:r>
      <w:r>
        <w:rPr>
          <w:rFonts w:ascii="Verdana" w:hAnsi="Verdana"/>
          <w:b/>
          <w:bCs/>
          <w:color w:val="333333"/>
          <w:sz w:val="18"/>
          <w:szCs w:val="18"/>
          <w:highlight w:val="yellow"/>
        </w:rPr>
        <w:t>For immediate publication</w:t>
      </w:r>
    </w:p>
    <w:p w:rsidR="009C0AF2" w:rsidRDefault="009C0AF2" w:rsidP="007D34F5">
      <w:pPr>
        <w:shd w:val="clear" w:color="auto" w:fill="FFFFFF"/>
        <w:spacing w:after="0" w:line="240" w:lineRule="auto"/>
        <w:rPr>
          <w:rFonts w:ascii="Verdana" w:hAnsi="Verdana" w:cs="Verdana"/>
          <w:color w:val="333333"/>
          <w:sz w:val="18"/>
          <w:szCs w:val="18"/>
          <w:lang w:eastAsia="en-GB"/>
        </w:rPr>
      </w:pPr>
    </w:p>
    <w:p w:rsidR="009C0AF2" w:rsidRPr="00347C02" w:rsidRDefault="009C0AF2" w:rsidP="007D34F5">
      <w:pPr>
        <w:shd w:val="clear" w:color="auto" w:fill="FFFFFF"/>
        <w:spacing w:after="0" w:line="240" w:lineRule="auto"/>
        <w:rPr>
          <w:rFonts w:ascii="Verdana" w:hAnsi="Verdana" w:cs="Verdana"/>
          <w:b/>
          <w:bCs/>
          <w:color w:val="333333"/>
          <w:sz w:val="4"/>
          <w:szCs w:val="24"/>
          <w:lang w:eastAsia="en-GB"/>
        </w:rPr>
      </w:pPr>
    </w:p>
    <w:p w:rsidR="001017CF" w:rsidRDefault="00DD5C24" w:rsidP="00DD5C24">
      <w:pPr>
        <w:rPr>
          <w:b/>
        </w:rPr>
      </w:pPr>
      <w:r>
        <w:rPr>
          <w:b/>
        </w:rPr>
        <w:t>HAR FAMILIEN INDFLYDELSE PÅ EN TWEENS VÆGT?</w:t>
      </w:r>
      <w:r>
        <w:br/>
      </w:r>
      <w:r>
        <w:rPr>
          <w:b/>
        </w:rPr>
        <w:t xml:space="preserve">Det EU-finansierede forskningsprojekt I.Family med deltagelse af 8 lande undersøger denne problemstilling. I.Family hører under IDEFICS-projektet, som inkluderer mere end 16.000 børn. </w:t>
      </w:r>
    </w:p>
    <w:p w:rsidR="00DD5C24" w:rsidRDefault="00DD5C24" w:rsidP="00DD5C24">
      <w:r>
        <w:t xml:space="preserve">Det EU-finansierede IDEFICS-projekt har vist, at børn under 10, som normalt spiser sammen med familien, trives med faste rammer i hjemmet og som føler sig godt tilpas, har 50 % mindre risiko for at udvikle overvægt eller fedme.  </w:t>
      </w:r>
    </w:p>
    <w:p w:rsidR="00AA59A1" w:rsidRDefault="00DD5C24" w:rsidP="00DD5C24">
      <w:r>
        <w:t>Disse resultater præsenteres i dag (18. oktober 2012) på en konference - The European Childhood Obesity Group Congress på Mallorca.</w:t>
      </w:r>
    </w:p>
    <w:p w:rsidR="00DD5C24" w:rsidRDefault="00AA59A1" w:rsidP="00DD5C24">
      <w:r>
        <w:t>Men fortsætter det, når børnene kommer i tween-alderen? Er barnet i denne periode mere påvirkelig af ydre faktorer? Disse spørgsmål undersøges i øjeblikket af I.Family-projektet.</w:t>
      </w:r>
    </w:p>
    <w:p w:rsidR="00AA59A1" w:rsidRDefault="00DD5C24" w:rsidP="00DD5C24">
      <w:r>
        <w:t xml:space="preserve">Iris Pigeot, vice-koordinator på både IDEFICS- og I.Family-projektet og professor i biometri og epidemiologi ved Institut for Epidemiologi og Forebyggelse i Bremen, Tyskland siger i dag ved konferencen: “Børn under 10, der stadig er involveret i familielivet, spiser sammen med familien, og føler sig godt tilpas, har 50 % mindre risiko for at udvikle overvægt og fedme. Familiens støtte og varme hjælper dem også med at opretholde en normal vægt.  </w:t>
      </w:r>
    </w:p>
    <w:p w:rsidR="00DD5C24" w:rsidRDefault="00AA59A1" w:rsidP="00DD5C24">
      <w:r>
        <w:t>Denne markante effekt bekræftes af vores IDEFICS-data, som er baseret på 16.000 europæiske børn.</w:t>
      </w:r>
    </w:p>
    <w:p w:rsidR="00DD5C24" w:rsidRDefault="00B36B74" w:rsidP="00DD5C24">
      <w:r>
        <w:t>“Det, vi i øjeblikket undersøger i I.Family-projektet, er hvor langt denne påvirkning fra familien rækker ind i børnenes tween-år. Overtages påvirkningen af kammerater og ligestillede, eller kommer den et helt andet sted fra?</w:t>
      </w:r>
    </w:p>
    <w:p w:rsidR="001017CF" w:rsidRDefault="00633E52" w:rsidP="001017CF">
      <w:r>
        <w:t>IDEFICS-studierne har med tydelighed vist, at et barns følelsesmæssige tilstand, dets selvtillid, forholdet til familien og den sociale omgangskreds har en afgørende betydning for barnets vægt.</w:t>
      </w:r>
      <w:r>
        <w:rPr>
          <w:b/>
        </w:rPr>
        <w:t xml:space="preserve">  I.Family</w:t>
      </w:r>
      <w:r>
        <w:t xml:space="preserve"> søger at fastlægge, hvor meget betydning familien har - om det er den mest afgørende faktor i kampen mod overvægt hos europæiske tweens. </w:t>
      </w:r>
    </w:p>
    <w:p w:rsidR="001017CF" w:rsidRDefault="001017CF" w:rsidP="001017CF">
      <w:pPr>
        <w:spacing w:before="100" w:beforeAutospacing="1" w:after="100" w:afterAutospacing="1" w:line="240" w:lineRule="auto"/>
        <w:jc w:val="both"/>
        <w:rPr>
          <w:sz w:val="24"/>
          <w:szCs w:val="24"/>
        </w:rPr>
      </w:pPr>
      <w:r>
        <w:tab/>
      </w:r>
      <w:r>
        <w:rPr>
          <w:sz w:val="24"/>
          <w:szCs w:val="24"/>
        </w:rPr>
        <w:t xml:space="preserve">                                                                                                                     SLUT/ Noter følger</w:t>
      </w:r>
    </w:p>
    <w:p w:rsidR="00324AE4" w:rsidRPr="00324AE4" w:rsidRDefault="00324AE4" w:rsidP="00324AE4">
      <w:pPr>
        <w:shd w:val="clear" w:color="auto" w:fill="FFFFFF"/>
        <w:spacing w:after="0" w:line="240" w:lineRule="auto"/>
        <w:rPr>
          <w:rFonts w:asciiTheme="minorHAnsi" w:hAnsiTheme="minorHAnsi" w:cstheme="minorHAnsi"/>
          <w:b/>
          <w:sz w:val="20"/>
          <w:szCs w:val="20"/>
        </w:rPr>
      </w:pPr>
      <w:r>
        <w:rPr>
          <w:rFonts w:asciiTheme="minorHAnsi" w:hAnsiTheme="minorHAnsi" w:cstheme="minorHAnsi"/>
          <w:b/>
          <w:sz w:val="20"/>
          <w:szCs w:val="20"/>
        </w:rPr>
        <w:t>Interview</w:t>
      </w:r>
      <w:r>
        <w:rPr>
          <w:rFonts w:asciiTheme="minorHAnsi" w:hAnsiTheme="minorHAnsi" w:cstheme="minorHAnsi"/>
          <w:sz w:val="20"/>
          <w:szCs w:val="20"/>
        </w:rPr>
        <w:t xml:space="preserve"> -</w:t>
      </w:r>
      <w:r>
        <w:rPr>
          <w:rFonts w:asciiTheme="minorHAnsi" w:hAnsiTheme="minorHAnsi" w:cstheme="minorHAnsi"/>
          <w:b/>
          <w:sz w:val="20"/>
          <w:szCs w:val="20"/>
        </w:rPr>
        <w:t xml:space="preserve"> Vice-koordinator Iris Pigeot </w:t>
      </w:r>
      <w:r>
        <w:br/>
      </w:r>
      <w:r>
        <w:rPr>
          <w:rFonts w:asciiTheme="minorHAnsi" w:hAnsiTheme="minorHAnsi" w:cstheme="minorHAnsi"/>
          <w:sz w:val="20"/>
          <w:szCs w:val="20"/>
        </w:rPr>
        <w:t>Kontakt Rhonda Smith fra Minerva på +44(0)7887-714957 for yderligere oplysninger</w:t>
      </w:r>
      <w:r>
        <w:rPr>
          <w:rFonts w:asciiTheme="minorHAnsi" w:hAnsiTheme="minorHAnsi" w:cstheme="minorHAnsi"/>
          <w:b/>
          <w:sz w:val="20"/>
          <w:szCs w:val="20"/>
        </w:rPr>
        <w:t xml:space="preserve"> </w:t>
      </w:r>
    </w:p>
    <w:p w:rsidR="00324AE4" w:rsidRDefault="00324AE4" w:rsidP="001017CF">
      <w:pPr>
        <w:shd w:val="clear" w:color="auto" w:fill="FFFFFF"/>
        <w:spacing w:after="0" w:line="240" w:lineRule="auto"/>
        <w:rPr>
          <w:b/>
          <w:bCs/>
          <w:sz w:val="24"/>
          <w:szCs w:val="40"/>
          <w:u w:val="single"/>
          <w:lang w:eastAsia="en-GB"/>
        </w:rPr>
      </w:pPr>
    </w:p>
    <w:p w:rsidR="00324AE4" w:rsidRPr="00324AE4" w:rsidRDefault="005172C5" w:rsidP="00324AE4">
      <w:pPr>
        <w:shd w:val="clear" w:color="auto" w:fill="FFFFFF"/>
        <w:spacing w:after="0" w:line="240" w:lineRule="auto"/>
        <w:rPr>
          <w:b/>
          <w:bCs/>
          <w:sz w:val="24"/>
          <w:szCs w:val="40"/>
          <w:u w:val="single"/>
        </w:rPr>
      </w:pPr>
      <w:r>
        <w:rPr>
          <w:b/>
          <w:bCs/>
          <w:sz w:val="24"/>
          <w:szCs w:val="40"/>
          <w:u w:val="single"/>
        </w:rPr>
        <w:t xml:space="preserve">Noter til pressen: </w:t>
      </w:r>
      <w:r>
        <w:br/>
      </w:r>
    </w:p>
    <w:p w:rsidR="008E76A9" w:rsidRPr="008E76A9" w:rsidRDefault="00324AE4" w:rsidP="00C366DC">
      <w:pPr>
        <w:pStyle w:val="ListParagraph"/>
        <w:numPr>
          <w:ilvl w:val="0"/>
          <w:numId w:val="4"/>
        </w:numPr>
        <w:shd w:val="clear" w:color="auto" w:fill="FFFFFF"/>
        <w:spacing w:after="0" w:line="240" w:lineRule="auto"/>
        <w:rPr>
          <w:rFonts w:asciiTheme="minorHAnsi" w:hAnsiTheme="minorHAnsi" w:cstheme="minorHAnsi"/>
          <w:b/>
          <w:sz w:val="20"/>
          <w:szCs w:val="20"/>
        </w:rPr>
      </w:pPr>
      <w:r>
        <w:rPr>
          <w:rFonts w:asciiTheme="minorHAnsi" w:hAnsiTheme="minorHAnsi" w:cstheme="minorHAnsi"/>
          <w:sz w:val="20"/>
        </w:rPr>
        <w:lastRenderedPageBreak/>
        <w:t>I-Family-projektet finansieres af Europa-kommissionen under det 7. rammeprogram og løber fra marts 2012 til februar 2017. Projektet har 17 forskningspartnere i 11 lande og med fokusgrupper i 8 europæiske lande - Tyskland, Italien, Sverige, Ungarn, Cypern, Estland, Spanien og Belgien.</w:t>
      </w:r>
    </w:p>
    <w:p w:rsidR="008E76A9" w:rsidRPr="008E76A9" w:rsidRDefault="008E76A9" w:rsidP="008E76A9">
      <w:pPr>
        <w:pStyle w:val="ListParagraph"/>
        <w:shd w:val="clear" w:color="auto" w:fill="FFFFFF"/>
        <w:spacing w:after="0" w:line="240" w:lineRule="auto"/>
        <w:ind w:left="360"/>
        <w:rPr>
          <w:rFonts w:asciiTheme="minorHAnsi" w:hAnsiTheme="minorHAnsi" w:cstheme="minorHAnsi"/>
          <w:b/>
          <w:sz w:val="20"/>
          <w:szCs w:val="20"/>
        </w:rPr>
      </w:pPr>
    </w:p>
    <w:p w:rsidR="008E76A9" w:rsidRPr="008E76A9" w:rsidRDefault="008E76A9" w:rsidP="00C366DC">
      <w:pPr>
        <w:pStyle w:val="ListParagraph"/>
        <w:numPr>
          <w:ilvl w:val="0"/>
          <w:numId w:val="4"/>
        </w:numPr>
        <w:shd w:val="clear" w:color="auto" w:fill="FFFFFF"/>
        <w:spacing w:after="0" w:line="240" w:lineRule="auto"/>
        <w:rPr>
          <w:rFonts w:asciiTheme="minorHAnsi" w:hAnsiTheme="minorHAnsi" w:cstheme="minorHAnsi"/>
          <w:sz w:val="20"/>
          <w:szCs w:val="20"/>
        </w:rPr>
      </w:pPr>
      <w:r>
        <w:rPr>
          <w:rFonts w:asciiTheme="minorHAnsi" w:hAnsiTheme="minorHAnsi" w:cstheme="minorHAnsi"/>
          <w:sz w:val="20"/>
        </w:rPr>
        <w:t xml:space="preserve">Projektet har to strategiske mål: </w:t>
      </w:r>
    </w:p>
    <w:p w:rsidR="000C134A" w:rsidRPr="008E76A9" w:rsidRDefault="008E76A9" w:rsidP="008E76A9">
      <w:pPr>
        <w:pStyle w:val="ListParagraph"/>
        <w:numPr>
          <w:ilvl w:val="0"/>
          <w:numId w:val="5"/>
        </w:numPr>
        <w:shd w:val="clear" w:color="auto" w:fill="FFFFFF"/>
        <w:spacing w:after="0" w:line="240" w:lineRule="auto"/>
        <w:rPr>
          <w:rFonts w:asciiTheme="minorHAnsi" w:hAnsiTheme="minorHAnsi" w:cstheme="minorHAnsi"/>
          <w:sz w:val="20"/>
        </w:rPr>
      </w:pPr>
      <w:r>
        <w:rPr>
          <w:rFonts w:asciiTheme="minorHAnsi" w:hAnsiTheme="minorHAnsi" w:cstheme="minorHAnsi"/>
          <w:sz w:val="20"/>
        </w:rPr>
        <w:t>at forstå samspillet mellem barrierer og drivkræfter i forbindelse med sunde madvalg.</w:t>
      </w:r>
    </w:p>
    <w:p w:rsidR="008E76A9" w:rsidRPr="008E76A9" w:rsidRDefault="008E76A9" w:rsidP="008E76A9">
      <w:pPr>
        <w:pStyle w:val="ListParagraph"/>
        <w:numPr>
          <w:ilvl w:val="0"/>
          <w:numId w:val="5"/>
        </w:numPr>
        <w:shd w:val="clear" w:color="auto" w:fill="FFFFFF"/>
        <w:spacing w:after="0" w:line="240" w:lineRule="auto"/>
        <w:rPr>
          <w:rFonts w:asciiTheme="minorHAnsi" w:hAnsiTheme="minorHAnsi" w:cstheme="minorHAnsi"/>
          <w:sz w:val="20"/>
          <w:szCs w:val="20"/>
        </w:rPr>
      </w:pPr>
      <w:r>
        <w:rPr>
          <w:rFonts w:asciiTheme="minorHAnsi" w:hAnsiTheme="minorHAnsi" w:cstheme="minorHAnsi"/>
          <w:sz w:val="20"/>
        </w:rPr>
        <w:t xml:space="preserve">udvikle og kommunikere forandringsstrategier, der fremmer sunde madvalg hos europæiske forbrugere, i særdeleshed unge og deres forældre </w:t>
      </w:r>
    </w:p>
    <w:p w:rsidR="008E76A9" w:rsidRDefault="008E76A9" w:rsidP="008E76A9">
      <w:pPr>
        <w:shd w:val="clear" w:color="auto" w:fill="FFFFFF"/>
        <w:spacing w:after="0" w:line="240" w:lineRule="auto"/>
        <w:rPr>
          <w:rFonts w:asciiTheme="minorHAnsi" w:hAnsiTheme="minorHAnsi" w:cstheme="minorHAnsi"/>
          <w:sz w:val="20"/>
          <w:szCs w:val="20"/>
        </w:rPr>
      </w:pPr>
    </w:p>
    <w:p w:rsidR="008E76A9" w:rsidRDefault="008E76A9" w:rsidP="008E76A9">
      <w:pPr>
        <w:pStyle w:val="ListParagraph"/>
        <w:numPr>
          <w:ilvl w:val="0"/>
          <w:numId w:val="4"/>
        </w:numPr>
        <w:shd w:val="clear" w:color="auto" w:fill="FFFFFF"/>
        <w:spacing w:after="0" w:line="240" w:lineRule="auto"/>
        <w:rPr>
          <w:rFonts w:asciiTheme="minorHAnsi" w:hAnsiTheme="minorHAnsi" w:cstheme="minorHAnsi"/>
          <w:sz w:val="20"/>
          <w:szCs w:val="20"/>
        </w:rPr>
      </w:pPr>
      <w:r>
        <w:rPr>
          <w:rFonts w:asciiTheme="minorHAnsi" w:hAnsiTheme="minorHAnsi" w:cstheme="minorHAnsi"/>
          <w:sz w:val="20"/>
          <w:szCs w:val="20"/>
        </w:rPr>
        <w:t xml:space="preserve">I.Family evaluerer nu de samme familier, som deltog i IDEFICS-projektet, da deres børn var under 10 år gamle. De er nu på vej i puberteten og er såkaldte tweens. I.Family identificerer således de familier, der har fået sunde madvaner og dem, der ikke har. Projektet vil undersøge de biologiske, adfærdsmæssige, sociale og miljømæssige faktorer, der styrer børns kostadfærd op igennem teenageårene. </w:t>
      </w:r>
    </w:p>
    <w:p w:rsidR="00706E03" w:rsidRDefault="00706E03" w:rsidP="00706E03">
      <w:pPr>
        <w:pStyle w:val="ListParagraph"/>
        <w:shd w:val="clear" w:color="auto" w:fill="FFFFFF"/>
        <w:spacing w:after="0" w:line="240" w:lineRule="auto"/>
        <w:ind w:left="360"/>
        <w:rPr>
          <w:rFonts w:asciiTheme="minorHAnsi" w:hAnsiTheme="minorHAnsi" w:cstheme="minorHAnsi"/>
          <w:sz w:val="20"/>
          <w:szCs w:val="20"/>
        </w:rPr>
      </w:pPr>
    </w:p>
    <w:p w:rsidR="00706E03" w:rsidRPr="00706E03" w:rsidRDefault="00706E03" w:rsidP="008E76A9">
      <w:pPr>
        <w:pStyle w:val="ListParagraph"/>
        <w:numPr>
          <w:ilvl w:val="0"/>
          <w:numId w:val="4"/>
        </w:numPr>
        <w:shd w:val="clear" w:color="auto" w:fill="FFFFFF"/>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I.Family-forskningspartnere </w:t>
      </w:r>
    </w:p>
    <w:p w:rsidR="00706E03" w:rsidRPr="00706E03" w:rsidRDefault="00706E03" w:rsidP="00706E03">
      <w:pPr>
        <w:shd w:val="clear" w:color="auto" w:fill="FFFFFF"/>
        <w:spacing w:after="0" w:line="240" w:lineRule="auto"/>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2268"/>
        <w:gridCol w:w="2738"/>
      </w:tblGrid>
      <w:tr w:rsidR="00706E03" w:rsidRPr="006D258D" w:rsidTr="001302EE">
        <w:tc>
          <w:tcPr>
            <w:tcW w:w="3510" w:type="dxa"/>
          </w:tcPr>
          <w:p w:rsidR="00706E03" w:rsidRPr="00706E03" w:rsidRDefault="00706E03" w:rsidP="001302EE">
            <w:pPr>
              <w:spacing w:before="60" w:after="60"/>
              <w:rPr>
                <w:rStyle w:val="Emphasis"/>
                <w:sz w:val="10"/>
              </w:rPr>
            </w:pPr>
            <w:r>
              <w:rPr>
                <w:rStyle w:val="Emphasis"/>
                <w:sz w:val="10"/>
              </w:rPr>
              <w:t>Deltagende organisation</w:t>
            </w:r>
          </w:p>
        </w:tc>
        <w:tc>
          <w:tcPr>
            <w:tcW w:w="2268" w:type="dxa"/>
          </w:tcPr>
          <w:p w:rsidR="00706E03" w:rsidRPr="00706E03" w:rsidRDefault="00706E03" w:rsidP="001302EE">
            <w:pPr>
              <w:spacing w:before="60" w:after="60"/>
              <w:rPr>
                <w:rStyle w:val="Emphasis"/>
                <w:sz w:val="10"/>
              </w:rPr>
            </w:pPr>
            <w:r>
              <w:rPr>
                <w:rStyle w:val="Emphasis"/>
                <w:sz w:val="10"/>
              </w:rPr>
              <w:t>Hovedforskere</w:t>
            </w:r>
          </w:p>
        </w:tc>
        <w:tc>
          <w:tcPr>
            <w:tcW w:w="2738" w:type="dxa"/>
          </w:tcPr>
          <w:p w:rsidR="00706E03" w:rsidRPr="00706E03" w:rsidRDefault="00706E03" w:rsidP="001302EE">
            <w:pPr>
              <w:spacing w:before="60" w:after="60"/>
              <w:rPr>
                <w:rStyle w:val="Emphasis"/>
                <w:sz w:val="10"/>
              </w:rPr>
            </w:pPr>
            <w:r>
              <w:rPr>
                <w:rStyle w:val="Emphasis"/>
                <w:sz w:val="10"/>
              </w:rPr>
              <w:t>Hovedansvar</w:t>
            </w:r>
          </w:p>
        </w:tc>
      </w:tr>
      <w:tr w:rsidR="00706E03" w:rsidRPr="006D258D" w:rsidTr="001302EE">
        <w:tc>
          <w:tcPr>
            <w:tcW w:w="3510" w:type="dxa"/>
          </w:tcPr>
          <w:p w:rsidR="00706E03" w:rsidRPr="00706E03" w:rsidRDefault="00706E03" w:rsidP="001302EE">
            <w:pPr>
              <w:spacing w:before="60" w:after="60"/>
              <w:rPr>
                <w:sz w:val="10"/>
              </w:rPr>
            </w:pPr>
            <w:r>
              <w:rPr>
                <w:sz w:val="10"/>
              </w:rPr>
              <w:t>University of Bremen, Germany</w:t>
            </w:r>
          </w:p>
        </w:tc>
        <w:tc>
          <w:tcPr>
            <w:tcW w:w="2268" w:type="dxa"/>
          </w:tcPr>
          <w:p w:rsidR="00706E03" w:rsidRPr="00706E03" w:rsidRDefault="00706E03" w:rsidP="001302EE">
            <w:pPr>
              <w:spacing w:before="60" w:after="60"/>
              <w:rPr>
                <w:sz w:val="10"/>
              </w:rPr>
            </w:pPr>
            <w:r>
              <w:rPr>
                <w:sz w:val="10"/>
              </w:rPr>
              <w:t>Wolfgang Ahrens</w:t>
            </w:r>
          </w:p>
        </w:tc>
        <w:tc>
          <w:tcPr>
            <w:tcW w:w="2738" w:type="dxa"/>
          </w:tcPr>
          <w:p w:rsidR="00706E03" w:rsidRPr="00706E03" w:rsidRDefault="00706E03" w:rsidP="001302EE">
            <w:pPr>
              <w:spacing w:before="60" w:after="60"/>
              <w:rPr>
                <w:sz w:val="10"/>
              </w:rPr>
            </w:pPr>
            <w:r>
              <w:rPr>
                <w:sz w:val="10"/>
              </w:rPr>
              <w:t>Projektkoordinator</w:t>
            </w:r>
          </w:p>
        </w:tc>
      </w:tr>
      <w:tr w:rsidR="00706E03" w:rsidRPr="006D258D" w:rsidTr="001302EE">
        <w:tc>
          <w:tcPr>
            <w:tcW w:w="3510" w:type="dxa"/>
          </w:tcPr>
          <w:p w:rsidR="00706E03" w:rsidRPr="00706E03" w:rsidRDefault="00706E03" w:rsidP="001302EE">
            <w:pPr>
              <w:spacing w:before="60" w:after="60"/>
              <w:rPr>
                <w:sz w:val="10"/>
              </w:rPr>
            </w:pPr>
            <w:r>
              <w:rPr>
                <w:sz w:val="10"/>
              </w:rPr>
              <w:t>BIPS – Institute for Epidemiology and Prevention Research GmbH, Germany</w:t>
            </w:r>
          </w:p>
        </w:tc>
        <w:tc>
          <w:tcPr>
            <w:tcW w:w="2268" w:type="dxa"/>
          </w:tcPr>
          <w:p w:rsidR="00706E03" w:rsidRPr="00706E03" w:rsidRDefault="00706E03" w:rsidP="001302EE">
            <w:pPr>
              <w:spacing w:before="60" w:after="60"/>
              <w:rPr>
                <w:sz w:val="10"/>
              </w:rPr>
            </w:pPr>
            <w:r>
              <w:rPr>
                <w:sz w:val="10"/>
              </w:rPr>
              <w:t>Iris Pigeot</w:t>
            </w:r>
          </w:p>
        </w:tc>
        <w:tc>
          <w:tcPr>
            <w:tcW w:w="2738" w:type="dxa"/>
          </w:tcPr>
          <w:p w:rsidR="00706E03" w:rsidRPr="00706E03" w:rsidRDefault="00706E03" w:rsidP="001302EE">
            <w:pPr>
              <w:spacing w:before="60" w:after="60"/>
              <w:rPr>
                <w:sz w:val="10"/>
              </w:rPr>
            </w:pPr>
            <w:r>
              <w:rPr>
                <w:sz w:val="10"/>
              </w:rPr>
              <w:t>Tyske gruppe, statistik</w:t>
            </w:r>
          </w:p>
        </w:tc>
      </w:tr>
      <w:tr w:rsidR="00706E03" w:rsidRPr="006D258D" w:rsidTr="001302EE">
        <w:tc>
          <w:tcPr>
            <w:tcW w:w="3510" w:type="dxa"/>
          </w:tcPr>
          <w:p w:rsidR="00706E03" w:rsidRPr="00706E03" w:rsidRDefault="00706E03" w:rsidP="001302EE">
            <w:pPr>
              <w:spacing w:before="60" w:after="60"/>
              <w:rPr>
                <w:sz w:val="10"/>
              </w:rPr>
            </w:pPr>
            <w:r>
              <w:rPr>
                <w:sz w:val="10"/>
              </w:rPr>
              <w:t>Institute of Food Sciences, National Research Council, Italy</w:t>
            </w:r>
          </w:p>
        </w:tc>
        <w:tc>
          <w:tcPr>
            <w:tcW w:w="2268" w:type="dxa"/>
          </w:tcPr>
          <w:p w:rsidR="00706E03" w:rsidRPr="00706E03" w:rsidRDefault="00706E03" w:rsidP="001302EE">
            <w:pPr>
              <w:spacing w:before="60" w:after="60"/>
              <w:rPr>
                <w:sz w:val="10"/>
              </w:rPr>
            </w:pPr>
            <w:r>
              <w:rPr>
                <w:sz w:val="10"/>
              </w:rPr>
              <w:t>Alfonso Siani</w:t>
            </w:r>
          </w:p>
        </w:tc>
        <w:tc>
          <w:tcPr>
            <w:tcW w:w="2738" w:type="dxa"/>
          </w:tcPr>
          <w:p w:rsidR="00706E03" w:rsidRPr="00706E03" w:rsidRDefault="00706E03" w:rsidP="001302EE">
            <w:pPr>
              <w:spacing w:before="60" w:after="60"/>
              <w:rPr>
                <w:sz w:val="10"/>
              </w:rPr>
            </w:pPr>
            <w:r>
              <w:rPr>
                <w:sz w:val="10"/>
              </w:rPr>
              <w:t>Italienske gruppe, ernæringsmæssig epidemiologi</w:t>
            </w:r>
          </w:p>
        </w:tc>
      </w:tr>
      <w:tr w:rsidR="00706E03" w:rsidRPr="006D258D" w:rsidTr="001302EE">
        <w:tc>
          <w:tcPr>
            <w:tcW w:w="3510" w:type="dxa"/>
          </w:tcPr>
          <w:p w:rsidR="00706E03" w:rsidRPr="00706E03" w:rsidRDefault="00706E03" w:rsidP="001302EE">
            <w:pPr>
              <w:spacing w:before="60" w:after="60"/>
              <w:rPr>
                <w:sz w:val="10"/>
              </w:rPr>
            </w:pPr>
            <w:r>
              <w:rPr>
                <w:sz w:val="10"/>
              </w:rPr>
              <w:t>Copenhagen Business School, Denmark</w:t>
            </w:r>
          </w:p>
        </w:tc>
        <w:tc>
          <w:tcPr>
            <w:tcW w:w="2268" w:type="dxa"/>
          </w:tcPr>
          <w:p w:rsidR="00706E03" w:rsidRPr="00706E03" w:rsidRDefault="00706E03" w:rsidP="001302EE">
            <w:pPr>
              <w:spacing w:before="60" w:after="60"/>
              <w:rPr>
                <w:sz w:val="10"/>
              </w:rPr>
            </w:pPr>
            <w:r>
              <w:rPr>
                <w:sz w:val="10"/>
              </w:rPr>
              <w:t xml:space="preserve">Lucia Reisch, </w:t>
            </w:r>
            <w:r>
              <w:br/>
            </w:r>
            <w:r>
              <w:rPr>
                <w:sz w:val="10"/>
              </w:rPr>
              <w:t>Wencke Gwozdz</w:t>
            </w:r>
          </w:p>
        </w:tc>
        <w:tc>
          <w:tcPr>
            <w:tcW w:w="2738" w:type="dxa"/>
          </w:tcPr>
          <w:p w:rsidR="00706E03" w:rsidRPr="00706E03" w:rsidRDefault="00706E03" w:rsidP="001302EE">
            <w:pPr>
              <w:spacing w:before="60" w:after="60"/>
              <w:rPr>
                <w:sz w:val="10"/>
              </w:rPr>
            </w:pPr>
            <w:r>
              <w:rPr>
                <w:sz w:val="10"/>
              </w:rPr>
              <w:t>Consumer behaviour &amp; environmental influences</w:t>
            </w:r>
          </w:p>
        </w:tc>
      </w:tr>
      <w:tr w:rsidR="00706E03" w:rsidRPr="006D258D" w:rsidTr="001302EE">
        <w:tc>
          <w:tcPr>
            <w:tcW w:w="3510" w:type="dxa"/>
          </w:tcPr>
          <w:p w:rsidR="00706E03" w:rsidRPr="00706E03" w:rsidRDefault="00706E03" w:rsidP="001302EE">
            <w:pPr>
              <w:spacing w:before="60" w:after="60"/>
              <w:rPr>
                <w:sz w:val="10"/>
              </w:rPr>
            </w:pPr>
            <w:r>
              <w:rPr>
                <w:sz w:val="10"/>
              </w:rPr>
              <w:t>University of Lancaster, United Kingdom</w:t>
            </w:r>
          </w:p>
        </w:tc>
        <w:tc>
          <w:tcPr>
            <w:tcW w:w="2268" w:type="dxa"/>
          </w:tcPr>
          <w:p w:rsidR="00706E03" w:rsidRPr="00706E03" w:rsidRDefault="00706E03" w:rsidP="001302EE">
            <w:pPr>
              <w:spacing w:before="60" w:after="60"/>
              <w:rPr>
                <w:sz w:val="10"/>
              </w:rPr>
            </w:pPr>
            <w:r>
              <w:rPr>
                <w:sz w:val="10"/>
              </w:rPr>
              <w:t>Garrath Williams</w:t>
            </w:r>
          </w:p>
        </w:tc>
        <w:tc>
          <w:tcPr>
            <w:tcW w:w="2738" w:type="dxa"/>
          </w:tcPr>
          <w:p w:rsidR="00706E03" w:rsidRPr="00706E03" w:rsidRDefault="00706E03" w:rsidP="001302EE">
            <w:pPr>
              <w:spacing w:before="60" w:after="60"/>
              <w:rPr>
                <w:sz w:val="10"/>
              </w:rPr>
            </w:pPr>
            <w:r>
              <w:rPr>
                <w:sz w:val="10"/>
              </w:rPr>
              <w:t>Etik, politik og stakeholder-engagement</w:t>
            </w:r>
          </w:p>
        </w:tc>
      </w:tr>
      <w:tr w:rsidR="00706E03" w:rsidRPr="006D258D" w:rsidTr="001302EE">
        <w:tc>
          <w:tcPr>
            <w:tcW w:w="3510" w:type="dxa"/>
          </w:tcPr>
          <w:p w:rsidR="00706E03" w:rsidRPr="00706E03" w:rsidRDefault="00706E03" w:rsidP="001302EE">
            <w:pPr>
              <w:spacing w:before="60" w:after="60"/>
              <w:rPr>
                <w:sz w:val="10"/>
              </w:rPr>
            </w:pPr>
            <w:r>
              <w:rPr>
                <w:sz w:val="10"/>
              </w:rPr>
              <w:t>Sahlgrenska Academy at the University of Gothenburg, Sweden</w:t>
            </w:r>
          </w:p>
        </w:tc>
        <w:tc>
          <w:tcPr>
            <w:tcW w:w="2268" w:type="dxa"/>
          </w:tcPr>
          <w:p w:rsidR="00706E03" w:rsidRPr="00706E03" w:rsidRDefault="006A7CDF" w:rsidP="001302EE">
            <w:pPr>
              <w:spacing w:before="60" w:after="60"/>
              <w:rPr>
                <w:sz w:val="10"/>
              </w:rPr>
            </w:pPr>
            <w:r>
              <w:rPr>
                <w:sz w:val="10"/>
              </w:rPr>
              <w:t>Gabriele Eiben</w:t>
            </w:r>
            <w:bookmarkStart w:id="0" w:name="_GoBack"/>
            <w:bookmarkEnd w:id="0"/>
            <w:r w:rsidR="00706E03">
              <w:rPr>
                <w:sz w:val="10"/>
              </w:rPr>
              <w:t xml:space="preserve">, </w:t>
            </w:r>
            <w:r w:rsidR="00706E03">
              <w:br/>
            </w:r>
            <w:r w:rsidR="00706E03">
              <w:rPr>
                <w:sz w:val="10"/>
              </w:rPr>
              <w:t>Lauren Lissner</w:t>
            </w:r>
          </w:p>
        </w:tc>
        <w:tc>
          <w:tcPr>
            <w:tcW w:w="2738" w:type="dxa"/>
          </w:tcPr>
          <w:p w:rsidR="00706E03" w:rsidRPr="00706E03" w:rsidRDefault="00706E03" w:rsidP="001302EE">
            <w:pPr>
              <w:spacing w:before="60" w:after="60"/>
              <w:rPr>
                <w:sz w:val="10"/>
              </w:rPr>
            </w:pPr>
            <w:r>
              <w:rPr>
                <w:sz w:val="10"/>
              </w:rPr>
              <w:t>Svenske gruppe, familieanalyse</w:t>
            </w:r>
          </w:p>
        </w:tc>
      </w:tr>
      <w:tr w:rsidR="00706E03" w:rsidRPr="006D258D" w:rsidTr="001302EE">
        <w:tc>
          <w:tcPr>
            <w:tcW w:w="3510" w:type="dxa"/>
          </w:tcPr>
          <w:p w:rsidR="00706E03" w:rsidRPr="00706E03" w:rsidRDefault="00706E03" w:rsidP="001302EE">
            <w:pPr>
              <w:spacing w:before="60" w:after="60"/>
              <w:rPr>
                <w:sz w:val="10"/>
              </w:rPr>
            </w:pPr>
            <w:r>
              <w:rPr>
                <w:sz w:val="10"/>
              </w:rPr>
              <w:t>University of Helsinki, Finland</w:t>
            </w:r>
          </w:p>
        </w:tc>
        <w:tc>
          <w:tcPr>
            <w:tcW w:w="2268" w:type="dxa"/>
          </w:tcPr>
          <w:p w:rsidR="00706E03" w:rsidRPr="00706E03" w:rsidRDefault="00706E03" w:rsidP="001302EE">
            <w:pPr>
              <w:spacing w:before="60" w:after="60"/>
              <w:rPr>
                <w:sz w:val="10"/>
              </w:rPr>
            </w:pPr>
            <w:r>
              <w:rPr>
                <w:sz w:val="10"/>
              </w:rPr>
              <w:t>Jaakko Kaprio</w:t>
            </w:r>
          </w:p>
        </w:tc>
        <w:tc>
          <w:tcPr>
            <w:tcW w:w="2738" w:type="dxa"/>
          </w:tcPr>
          <w:p w:rsidR="00706E03" w:rsidRPr="00706E03" w:rsidRDefault="00706E03" w:rsidP="001302EE">
            <w:pPr>
              <w:spacing w:before="60" w:after="60"/>
              <w:rPr>
                <w:sz w:val="10"/>
              </w:rPr>
            </w:pPr>
            <w:r>
              <w:rPr>
                <w:sz w:val="10"/>
              </w:rPr>
              <w:t>Familieaggregering og genetisk modellering</w:t>
            </w:r>
          </w:p>
        </w:tc>
      </w:tr>
      <w:tr w:rsidR="00706E03" w:rsidRPr="006D258D" w:rsidTr="001302EE">
        <w:tc>
          <w:tcPr>
            <w:tcW w:w="3510" w:type="dxa"/>
          </w:tcPr>
          <w:p w:rsidR="00706E03" w:rsidRPr="00706E03" w:rsidRDefault="00706E03" w:rsidP="001302EE">
            <w:pPr>
              <w:spacing w:before="60" w:after="60"/>
              <w:rPr>
                <w:sz w:val="10"/>
              </w:rPr>
            </w:pPr>
            <w:r>
              <w:rPr>
                <w:sz w:val="10"/>
              </w:rPr>
              <w:t>University of the Baleares Islands, Spain</w:t>
            </w:r>
          </w:p>
        </w:tc>
        <w:tc>
          <w:tcPr>
            <w:tcW w:w="2268" w:type="dxa"/>
          </w:tcPr>
          <w:p w:rsidR="00706E03" w:rsidRPr="00706E03" w:rsidRDefault="00706E03" w:rsidP="001302EE">
            <w:pPr>
              <w:spacing w:before="60" w:after="60"/>
              <w:rPr>
                <w:sz w:val="10"/>
              </w:rPr>
            </w:pPr>
            <w:r>
              <w:rPr>
                <w:sz w:val="10"/>
              </w:rPr>
              <w:t xml:space="preserve">Andreu Palou, </w:t>
            </w:r>
            <w:r>
              <w:br/>
            </w:r>
            <w:r>
              <w:rPr>
                <w:sz w:val="10"/>
              </w:rPr>
              <w:t>Catalina Picó</w:t>
            </w:r>
          </w:p>
        </w:tc>
        <w:tc>
          <w:tcPr>
            <w:tcW w:w="2738" w:type="dxa"/>
          </w:tcPr>
          <w:p w:rsidR="00706E03" w:rsidRPr="00706E03" w:rsidRDefault="00706E03" w:rsidP="001302EE">
            <w:pPr>
              <w:spacing w:before="60" w:after="60"/>
              <w:rPr>
                <w:sz w:val="10"/>
              </w:rPr>
            </w:pPr>
            <w:r>
              <w:rPr>
                <w:sz w:val="10"/>
              </w:rPr>
              <w:t>Genomisk analyse</w:t>
            </w:r>
          </w:p>
        </w:tc>
      </w:tr>
      <w:tr w:rsidR="00706E03" w:rsidRPr="006D258D" w:rsidTr="001302EE">
        <w:tc>
          <w:tcPr>
            <w:tcW w:w="3510" w:type="dxa"/>
          </w:tcPr>
          <w:p w:rsidR="00706E03" w:rsidRPr="00706E03" w:rsidRDefault="00706E03" w:rsidP="001302EE">
            <w:pPr>
              <w:spacing w:before="60" w:after="60"/>
              <w:rPr>
                <w:sz w:val="10"/>
              </w:rPr>
            </w:pPr>
            <w:r>
              <w:rPr>
                <w:sz w:val="10"/>
              </w:rPr>
              <w:t>University of Pécs, Hungary</w:t>
            </w:r>
          </w:p>
        </w:tc>
        <w:tc>
          <w:tcPr>
            <w:tcW w:w="2268" w:type="dxa"/>
          </w:tcPr>
          <w:p w:rsidR="00706E03" w:rsidRPr="00706E03" w:rsidRDefault="00706E03" w:rsidP="001302EE">
            <w:pPr>
              <w:spacing w:before="60" w:after="60"/>
              <w:rPr>
                <w:sz w:val="10"/>
              </w:rPr>
            </w:pPr>
            <w:r>
              <w:rPr>
                <w:sz w:val="10"/>
              </w:rPr>
              <w:t>Dénes Molnár</w:t>
            </w:r>
          </w:p>
        </w:tc>
        <w:tc>
          <w:tcPr>
            <w:tcW w:w="2738" w:type="dxa"/>
          </w:tcPr>
          <w:p w:rsidR="00706E03" w:rsidRPr="00706E03" w:rsidRDefault="00706E03" w:rsidP="001302EE">
            <w:pPr>
              <w:spacing w:before="60" w:after="60"/>
              <w:rPr>
                <w:sz w:val="10"/>
              </w:rPr>
            </w:pPr>
            <w:r>
              <w:rPr>
                <w:sz w:val="10"/>
              </w:rPr>
              <w:t>Ungarske gruppe</w:t>
            </w:r>
          </w:p>
        </w:tc>
      </w:tr>
      <w:tr w:rsidR="00706E03" w:rsidRPr="006D258D" w:rsidTr="001302EE">
        <w:tc>
          <w:tcPr>
            <w:tcW w:w="3510" w:type="dxa"/>
          </w:tcPr>
          <w:p w:rsidR="00706E03" w:rsidRPr="00706E03" w:rsidRDefault="00706E03" w:rsidP="001302EE">
            <w:pPr>
              <w:spacing w:before="60" w:after="60"/>
              <w:rPr>
                <w:sz w:val="10"/>
              </w:rPr>
            </w:pPr>
            <w:r>
              <w:rPr>
                <w:sz w:val="10"/>
              </w:rPr>
              <w:t>Rudolf Magnus Institute of Neuroscience, The Netherlands</w:t>
            </w:r>
          </w:p>
        </w:tc>
        <w:tc>
          <w:tcPr>
            <w:tcW w:w="2268" w:type="dxa"/>
          </w:tcPr>
          <w:p w:rsidR="00706E03" w:rsidRPr="00706E03" w:rsidRDefault="00706E03" w:rsidP="001302EE">
            <w:pPr>
              <w:spacing w:before="60" w:after="60"/>
              <w:rPr>
                <w:sz w:val="10"/>
              </w:rPr>
            </w:pPr>
            <w:r>
              <w:rPr>
                <w:sz w:val="10"/>
              </w:rPr>
              <w:t>Roger Adan</w:t>
            </w:r>
          </w:p>
        </w:tc>
        <w:tc>
          <w:tcPr>
            <w:tcW w:w="2738" w:type="dxa"/>
          </w:tcPr>
          <w:p w:rsidR="00706E03" w:rsidRPr="00706E03" w:rsidRDefault="00706E03" w:rsidP="001302EE">
            <w:pPr>
              <w:spacing w:before="60" w:after="60"/>
              <w:rPr>
                <w:sz w:val="10"/>
              </w:rPr>
            </w:pPr>
            <w:r>
              <w:rPr>
                <w:sz w:val="10"/>
              </w:rPr>
              <w:t>Neurobilleddannelse og  neuropsykologi</w:t>
            </w:r>
          </w:p>
        </w:tc>
      </w:tr>
      <w:tr w:rsidR="00706E03" w:rsidRPr="006D258D" w:rsidTr="001302EE">
        <w:tc>
          <w:tcPr>
            <w:tcW w:w="3510" w:type="dxa"/>
          </w:tcPr>
          <w:p w:rsidR="00706E03" w:rsidRPr="00706E03" w:rsidRDefault="00706E03" w:rsidP="001302EE">
            <w:pPr>
              <w:spacing w:before="60" w:after="60"/>
              <w:rPr>
                <w:sz w:val="10"/>
              </w:rPr>
            </w:pPr>
            <w:r>
              <w:rPr>
                <w:sz w:val="10"/>
              </w:rPr>
              <w:t>Research and Education Institute of Child Health, Cyprus</w:t>
            </w:r>
          </w:p>
        </w:tc>
        <w:tc>
          <w:tcPr>
            <w:tcW w:w="2268" w:type="dxa"/>
          </w:tcPr>
          <w:p w:rsidR="00706E03" w:rsidRPr="00706E03" w:rsidRDefault="00706E03" w:rsidP="001302EE">
            <w:pPr>
              <w:spacing w:before="60" w:after="60"/>
              <w:rPr>
                <w:sz w:val="10"/>
              </w:rPr>
            </w:pPr>
            <w:r>
              <w:rPr>
                <w:sz w:val="10"/>
              </w:rPr>
              <w:t>Michael Tornaritis</w:t>
            </w:r>
          </w:p>
        </w:tc>
        <w:tc>
          <w:tcPr>
            <w:tcW w:w="2738" w:type="dxa"/>
          </w:tcPr>
          <w:p w:rsidR="00706E03" w:rsidRPr="00706E03" w:rsidRDefault="00706E03" w:rsidP="001302EE">
            <w:pPr>
              <w:spacing w:before="60" w:after="60"/>
              <w:rPr>
                <w:sz w:val="10"/>
              </w:rPr>
            </w:pPr>
            <w:r>
              <w:rPr>
                <w:sz w:val="10"/>
              </w:rPr>
              <w:t>Cypriotiske gruppe</w:t>
            </w:r>
          </w:p>
        </w:tc>
      </w:tr>
      <w:tr w:rsidR="00706E03" w:rsidRPr="006D258D" w:rsidTr="001302EE">
        <w:tc>
          <w:tcPr>
            <w:tcW w:w="3510" w:type="dxa"/>
          </w:tcPr>
          <w:p w:rsidR="00706E03" w:rsidRPr="00706E03" w:rsidRDefault="00706E03" w:rsidP="001302EE">
            <w:pPr>
              <w:spacing w:before="60" w:after="60"/>
              <w:rPr>
                <w:sz w:val="10"/>
              </w:rPr>
            </w:pPr>
            <w:r>
              <w:rPr>
                <w:sz w:val="10"/>
              </w:rPr>
              <w:t>National Institute for Health Development, Estonia</w:t>
            </w:r>
          </w:p>
        </w:tc>
        <w:tc>
          <w:tcPr>
            <w:tcW w:w="2268" w:type="dxa"/>
          </w:tcPr>
          <w:p w:rsidR="00706E03" w:rsidRPr="00706E03" w:rsidRDefault="00706E03" w:rsidP="001302EE">
            <w:pPr>
              <w:spacing w:before="60" w:after="60"/>
              <w:rPr>
                <w:sz w:val="10"/>
              </w:rPr>
            </w:pPr>
            <w:r>
              <w:rPr>
                <w:sz w:val="10"/>
              </w:rPr>
              <w:t>Toomas Veidebaum</w:t>
            </w:r>
          </w:p>
        </w:tc>
        <w:tc>
          <w:tcPr>
            <w:tcW w:w="2738" w:type="dxa"/>
          </w:tcPr>
          <w:p w:rsidR="00706E03" w:rsidRPr="00706E03" w:rsidRDefault="00706E03" w:rsidP="001302EE">
            <w:pPr>
              <w:spacing w:before="60" w:after="60"/>
              <w:rPr>
                <w:sz w:val="10"/>
              </w:rPr>
            </w:pPr>
            <w:r>
              <w:rPr>
                <w:sz w:val="10"/>
              </w:rPr>
              <w:t>Estiske gruppe</w:t>
            </w:r>
          </w:p>
        </w:tc>
      </w:tr>
      <w:tr w:rsidR="00706E03" w:rsidRPr="006D258D" w:rsidTr="001302EE">
        <w:tc>
          <w:tcPr>
            <w:tcW w:w="3510" w:type="dxa"/>
          </w:tcPr>
          <w:p w:rsidR="00706E03" w:rsidRPr="00706E03" w:rsidRDefault="00706E03" w:rsidP="001302EE">
            <w:pPr>
              <w:spacing w:before="60" w:after="60"/>
              <w:rPr>
                <w:sz w:val="10"/>
              </w:rPr>
            </w:pPr>
            <w:r>
              <w:rPr>
                <w:sz w:val="10"/>
              </w:rPr>
              <w:t>Fondazione IRCCS Istituto Nazionale Tumori, Italy</w:t>
            </w:r>
          </w:p>
        </w:tc>
        <w:tc>
          <w:tcPr>
            <w:tcW w:w="2268" w:type="dxa"/>
          </w:tcPr>
          <w:p w:rsidR="00706E03" w:rsidRPr="00706E03" w:rsidRDefault="00706E03" w:rsidP="001302EE">
            <w:pPr>
              <w:spacing w:before="60" w:after="60"/>
              <w:rPr>
                <w:sz w:val="10"/>
              </w:rPr>
            </w:pPr>
            <w:r>
              <w:rPr>
                <w:sz w:val="10"/>
              </w:rPr>
              <w:t>Vittorio Krogh</w:t>
            </w:r>
          </w:p>
        </w:tc>
        <w:tc>
          <w:tcPr>
            <w:tcW w:w="2738" w:type="dxa"/>
          </w:tcPr>
          <w:p w:rsidR="00706E03" w:rsidRPr="00706E03" w:rsidRDefault="00706E03" w:rsidP="001302EE">
            <w:pPr>
              <w:spacing w:before="60" w:after="60"/>
              <w:rPr>
                <w:sz w:val="10"/>
              </w:rPr>
            </w:pPr>
            <w:r>
              <w:rPr>
                <w:sz w:val="10"/>
              </w:rPr>
              <w:t>Metoder for vurdering af kost</w:t>
            </w:r>
          </w:p>
        </w:tc>
      </w:tr>
      <w:tr w:rsidR="00706E03" w:rsidRPr="006D258D" w:rsidTr="001302EE">
        <w:tc>
          <w:tcPr>
            <w:tcW w:w="3510" w:type="dxa"/>
          </w:tcPr>
          <w:p w:rsidR="00706E03" w:rsidRPr="00706E03" w:rsidRDefault="00706E03" w:rsidP="001302EE">
            <w:pPr>
              <w:spacing w:before="60" w:after="60"/>
              <w:rPr>
                <w:sz w:val="10"/>
              </w:rPr>
            </w:pPr>
            <w:r>
              <w:rPr>
                <w:sz w:val="10"/>
              </w:rPr>
              <w:t>University of Bristol, United Kingdom</w:t>
            </w:r>
          </w:p>
        </w:tc>
        <w:tc>
          <w:tcPr>
            <w:tcW w:w="2268" w:type="dxa"/>
          </w:tcPr>
          <w:p w:rsidR="00706E03" w:rsidRPr="00706E03" w:rsidRDefault="00706E03" w:rsidP="001302EE">
            <w:pPr>
              <w:spacing w:before="60" w:after="60"/>
              <w:rPr>
                <w:sz w:val="10"/>
              </w:rPr>
            </w:pPr>
            <w:r>
              <w:rPr>
                <w:sz w:val="10"/>
              </w:rPr>
              <w:t xml:space="preserve">Angie Page, </w:t>
            </w:r>
            <w:r>
              <w:br/>
            </w:r>
            <w:r>
              <w:rPr>
                <w:sz w:val="10"/>
              </w:rPr>
              <w:t>Ashley Cooper</w:t>
            </w:r>
          </w:p>
        </w:tc>
        <w:tc>
          <w:tcPr>
            <w:tcW w:w="2738" w:type="dxa"/>
          </w:tcPr>
          <w:p w:rsidR="00706E03" w:rsidRPr="00706E03" w:rsidRDefault="00706E03" w:rsidP="001302EE">
            <w:pPr>
              <w:spacing w:before="60" w:after="60"/>
              <w:rPr>
                <w:sz w:val="10"/>
              </w:rPr>
            </w:pPr>
            <w:r>
              <w:rPr>
                <w:sz w:val="10"/>
              </w:rPr>
              <w:t>Overvågning af fysisk aktivitet</w:t>
            </w:r>
          </w:p>
        </w:tc>
      </w:tr>
      <w:tr w:rsidR="00706E03" w:rsidRPr="006D258D" w:rsidTr="001302EE">
        <w:tc>
          <w:tcPr>
            <w:tcW w:w="3510" w:type="dxa"/>
          </w:tcPr>
          <w:p w:rsidR="00706E03" w:rsidRPr="00706E03" w:rsidRDefault="00706E03" w:rsidP="001302EE">
            <w:pPr>
              <w:spacing w:before="60" w:after="60"/>
              <w:rPr>
                <w:sz w:val="10"/>
              </w:rPr>
            </w:pPr>
            <w:r>
              <w:rPr>
                <w:sz w:val="10"/>
              </w:rPr>
              <w:t>Minerva PRC Ltd, United Kingdom</w:t>
            </w:r>
          </w:p>
        </w:tc>
        <w:tc>
          <w:tcPr>
            <w:tcW w:w="2268" w:type="dxa"/>
          </w:tcPr>
          <w:p w:rsidR="00706E03" w:rsidRPr="00706E03" w:rsidRDefault="00706E03" w:rsidP="001302EE">
            <w:pPr>
              <w:spacing w:before="60" w:after="60"/>
              <w:rPr>
                <w:sz w:val="10"/>
              </w:rPr>
            </w:pPr>
            <w:r>
              <w:rPr>
                <w:sz w:val="10"/>
              </w:rPr>
              <w:t xml:space="preserve">Rhonda Smith, </w:t>
            </w:r>
            <w:r>
              <w:br/>
            </w:r>
            <w:r>
              <w:rPr>
                <w:sz w:val="10"/>
              </w:rPr>
              <w:t>Marc Catchpole</w:t>
            </w:r>
          </w:p>
        </w:tc>
        <w:tc>
          <w:tcPr>
            <w:tcW w:w="2738" w:type="dxa"/>
          </w:tcPr>
          <w:p w:rsidR="00706E03" w:rsidRPr="00706E03" w:rsidRDefault="00706E03" w:rsidP="001302EE">
            <w:pPr>
              <w:spacing w:before="60" w:after="60"/>
              <w:rPr>
                <w:sz w:val="10"/>
              </w:rPr>
            </w:pPr>
            <w:r>
              <w:rPr>
                <w:sz w:val="10"/>
              </w:rPr>
              <w:t>Formidling og kommunikation</w:t>
            </w:r>
          </w:p>
        </w:tc>
      </w:tr>
      <w:tr w:rsidR="00706E03" w:rsidRPr="006D258D" w:rsidTr="001302EE">
        <w:tc>
          <w:tcPr>
            <w:tcW w:w="3510" w:type="dxa"/>
          </w:tcPr>
          <w:p w:rsidR="00706E03" w:rsidRPr="00706E03" w:rsidRDefault="00706E03" w:rsidP="001302EE">
            <w:pPr>
              <w:spacing w:before="60" w:after="60"/>
              <w:rPr>
                <w:sz w:val="10"/>
              </w:rPr>
            </w:pPr>
            <w:r>
              <w:rPr>
                <w:sz w:val="10"/>
              </w:rPr>
              <w:t>University of Zaragoza, Spain</w:t>
            </w:r>
          </w:p>
        </w:tc>
        <w:tc>
          <w:tcPr>
            <w:tcW w:w="2268" w:type="dxa"/>
          </w:tcPr>
          <w:p w:rsidR="00706E03" w:rsidRPr="00706E03" w:rsidRDefault="00706E03" w:rsidP="001302EE">
            <w:pPr>
              <w:spacing w:before="60" w:after="60"/>
              <w:rPr>
                <w:sz w:val="10"/>
              </w:rPr>
            </w:pPr>
            <w:r>
              <w:rPr>
                <w:sz w:val="10"/>
              </w:rPr>
              <w:t>Luis Moreno</w:t>
            </w:r>
          </w:p>
        </w:tc>
        <w:tc>
          <w:tcPr>
            <w:tcW w:w="2738" w:type="dxa"/>
          </w:tcPr>
          <w:p w:rsidR="00706E03" w:rsidRPr="00706E03" w:rsidRDefault="00706E03" w:rsidP="001302EE">
            <w:pPr>
              <w:spacing w:before="60" w:after="60"/>
              <w:rPr>
                <w:sz w:val="10"/>
              </w:rPr>
            </w:pPr>
            <w:r>
              <w:rPr>
                <w:sz w:val="10"/>
              </w:rPr>
              <w:t>Spanske gruppe</w:t>
            </w:r>
          </w:p>
        </w:tc>
      </w:tr>
      <w:tr w:rsidR="00706E03" w:rsidRPr="006D258D" w:rsidTr="001302EE">
        <w:tc>
          <w:tcPr>
            <w:tcW w:w="3510" w:type="dxa"/>
          </w:tcPr>
          <w:p w:rsidR="00706E03" w:rsidRPr="00706E03" w:rsidRDefault="00706E03" w:rsidP="001302EE">
            <w:pPr>
              <w:spacing w:before="60" w:after="60"/>
              <w:rPr>
                <w:sz w:val="10"/>
              </w:rPr>
            </w:pPr>
            <w:r>
              <w:rPr>
                <w:sz w:val="10"/>
              </w:rPr>
              <w:t>Ghent University, Belgium</w:t>
            </w:r>
          </w:p>
        </w:tc>
        <w:tc>
          <w:tcPr>
            <w:tcW w:w="2268" w:type="dxa"/>
          </w:tcPr>
          <w:p w:rsidR="00706E03" w:rsidRPr="00706E03" w:rsidRDefault="00706E03" w:rsidP="001302EE">
            <w:pPr>
              <w:spacing w:before="60" w:after="60"/>
              <w:rPr>
                <w:sz w:val="10"/>
              </w:rPr>
            </w:pPr>
            <w:r>
              <w:rPr>
                <w:sz w:val="10"/>
              </w:rPr>
              <w:t>Stefaan De Henauw</w:t>
            </w:r>
          </w:p>
        </w:tc>
        <w:tc>
          <w:tcPr>
            <w:tcW w:w="2738" w:type="dxa"/>
          </w:tcPr>
          <w:p w:rsidR="00706E03" w:rsidRPr="00706E03" w:rsidRDefault="00706E03" w:rsidP="001302EE">
            <w:pPr>
              <w:spacing w:before="60" w:after="60"/>
              <w:rPr>
                <w:sz w:val="10"/>
              </w:rPr>
            </w:pPr>
            <w:r>
              <w:rPr>
                <w:sz w:val="10"/>
              </w:rPr>
              <w:t>Belgiske gruppe</w:t>
            </w:r>
          </w:p>
        </w:tc>
      </w:tr>
    </w:tbl>
    <w:p w:rsidR="00706E03" w:rsidRDefault="00706E03" w:rsidP="00706E03">
      <w:pPr>
        <w:pStyle w:val="ListParagraph"/>
        <w:shd w:val="clear" w:color="auto" w:fill="FFFFFF"/>
        <w:spacing w:after="0" w:line="240" w:lineRule="auto"/>
        <w:ind w:left="360"/>
        <w:rPr>
          <w:rFonts w:asciiTheme="minorHAnsi" w:hAnsiTheme="minorHAnsi" w:cstheme="minorHAnsi"/>
          <w:sz w:val="20"/>
          <w:szCs w:val="20"/>
        </w:rPr>
      </w:pPr>
    </w:p>
    <w:p w:rsidR="00706E03" w:rsidRPr="008E76A9" w:rsidRDefault="00706E03" w:rsidP="00706E03">
      <w:pPr>
        <w:pStyle w:val="ListParagraph"/>
        <w:shd w:val="clear" w:color="auto" w:fill="FFFFFF"/>
        <w:spacing w:after="0" w:line="240" w:lineRule="auto"/>
        <w:ind w:left="360"/>
        <w:rPr>
          <w:rFonts w:asciiTheme="minorHAnsi" w:hAnsiTheme="minorHAnsi" w:cstheme="minorHAnsi"/>
          <w:sz w:val="20"/>
          <w:szCs w:val="20"/>
        </w:rPr>
      </w:pPr>
    </w:p>
    <w:p w:rsidR="005172C5" w:rsidRPr="00706E03" w:rsidRDefault="000D6B56" w:rsidP="00706E03">
      <w:pPr>
        <w:pStyle w:val="Heading3"/>
        <w:rPr>
          <w:rFonts w:asciiTheme="minorHAnsi" w:hAnsiTheme="minorHAnsi" w:cstheme="minorHAnsi"/>
          <w:bCs/>
          <w:sz w:val="24"/>
          <w:szCs w:val="40"/>
        </w:rPr>
      </w:pPr>
      <w:r>
        <w:rPr>
          <w:sz w:val="24"/>
          <w:szCs w:val="24"/>
        </w:rPr>
        <w:t xml:space="preserve">Noter/Slut </w:t>
      </w:r>
    </w:p>
    <w:sectPr w:rsidR="005172C5" w:rsidRPr="00706E03" w:rsidSect="000D0509">
      <w:footerReference w:type="default" r:id="rId11"/>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7C" w:rsidRDefault="00F8677C" w:rsidP="00D040BE">
      <w:pPr>
        <w:spacing w:after="0" w:line="240" w:lineRule="auto"/>
      </w:pPr>
      <w:r>
        <w:separator/>
      </w:r>
    </w:p>
  </w:endnote>
  <w:endnote w:type="continuationSeparator" w:id="0">
    <w:p w:rsidR="00F8677C" w:rsidRDefault="00F8677C" w:rsidP="00D0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F2" w:rsidRPr="005172C5" w:rsidRDefault="00347C02" w:rsidP="00221009">
    <w:pPr>
      <w:pStyle w:val="Footer"/>
      <w:pBdr>
        <w:top w:val="thinThickSmallGap" w:sz="24" w:space="1" w:color="622423"/>
      </w:pBdr>
      <w:tabs>
        <w:tab w:val="clear" w:pos="4513"/>
      </w:tabs>
      <w:rPr>
        <w:rFonts w:asciiTheme="minorHAnsi" w:hAnsiTheme="minorHAnsi" w:cstheme="minorHAnsi"/>
      </w:rPr>
    </w:pPr>
    <w:r>
      <w:rPr>
        <w:noProof/>
        <w:lang w:val="en-GB" w:eastAsia="en-GB" w:bidi="ar-SA"/>
      </w:rPr>
      <w:drawing>
        <wp:inline distT="0" distB="0" distL="0" distR="0" wp14:anchorId="3EDA751B" wp14:editId="5DCB50D8">
          <wp:extent cx="336550" cy="336550"/>
          <wp:effectExtent l="0" t="0" r="635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b/>
        <w:bCs/>
        <w:sz w:val="18"/>
        <w:szCs w:val="18"/>
      </w:rPr>
      <w:t xml:space="preserve">   I.Family er finansieret af EU og er baseret på IDEFICS-projektet (projektnummer 266044)</w:t>
    </w:r>
    <w:r>
      <w:tab/>
    </w:r>
    <w:r>
      <w:rPr>
        <w:rFonts w:asciiTheme="minorHAnsi" w:hAnsiTheme="minorHAnsi" w:cstheme="minorHAnsi"/>
        <w:b/>
        <w:bCs/>
        <w:sz w:val="18"/>
        <w:szCs w:val="18"/>
      </w:rPr>
      <w:t xml:space="preserve">Side </w:t>
    </w:r>
    <w:r w:rsidR="00564E4A" w:rsidRPr="005172C5">
      <w:rPr>
        <w:rFonts w:asciiTheme="minorHAnsi" w:hAnsiTheme="minorHAnsi" w:cstheme="minorHAnsi"/>
        <w:b/>
        <w:sz w:val="18"/>
        <w:szCs w:val="18"/>
      </w:rPr>
      <w:fldChar w:fldCharType="begin"/>
    </w:r>
    <w:r w:rsidR="00564E4A" w:rsidRPr="005172C5">
      <w:rPr>
        <w:rFonts w:asciiTheme="minorHAnsi" w:hAnsiTheme="minorHAnsi" w:cstheme="minorHAnsi"/>
        <w:b/>
        <w:sz w:val="18"/>
        <w:szCs w:val="18"/>
      </w:rPr>
      <w:instrText xml:space="preserve"> PAGE   \* MERGEFORMAT </w:instrText>
    </w:r>
    <w:r w:rsidR="00564E4A" w:rsidRPr="005172C5">
      <w:rPr>
        <w:rFonts w:asciiTheme="minorHAnsi" w:hAnsiTheme="minorHAnsi" w:cstheme="minorHAnsi"/>
        <w:b/>
        <w:sz w:val="18"/>
        <w:szCs w:val="18"/>
      </w:rPr>
      <w:fldChar w:fldCharType="separate"/>
    </w:r>
    <w:r w:rsidR="006A7CDF">
      <w:rPr>
        <w:rFonts w:asciiTheme="minorHAnsi" w:hAnsiTheme="minorHAnsi" w:cstheme="minorHAnsi"/>
        <w:b/>
        <w:noProof/>
        <w:sz w:val="18"/>
        <w:szCs w:val="18"/>
      </w:rPr>
      <w:t>2</w:t>
    </w:r>
    <w:r w:rsidR="00564E4A" w:rsidRPr="005172C5">
      <w:rPr>
        <w:rFonts w:asciiTheme="minorHAnsi" w:hAnsiTheme="minorHAnsi" w:cstheme="minorHAnsi"/>
        <w:b/>
        <w:noProof/>
        <w:sz w:val="18"/>
        <w:szCs w:val="18"/>
      </w:rPr>
      <w:fldChar w:fldCharType="end"/>
    </w:r>
  </w:p>
  <w:p w:rsidR="009C0AF2" w:rsidRDefault="009C0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7C" w:rsidRDefault="00F8677C" w:rsidP="00D040BE">
      <w:pPr>
        <w:spacing w:after="0" w:line="240" w:lineRule="auto"/>
      </w:pPr>
      <w:r>
        <w:separator/>
      </w:r>
    </w:p>
  </w:footnote>
  <w:footnote w:type="continuationSeparator" w:id="0">
    <w:p w:rsidR="00F8677C" w:rsidRDefault="00F8677C" w:rsidP="00D04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56DD"/>
    <w:multiLevelType w:val="hybridMultilevel"/>
    <w:tmpl w:val="1612FDBE"/>
    <w:lvl w:ilvl="0" w:tplc="910640B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BC02B5E"/>
    <w:multiLevelType w:val="hybridMultilevel"/>
    <w:tmpl w:val="2160E506"/>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7BC5C80"/>
    <w:multiLevelType w:val="multilevel"/>
    <w:tmpl w:val="C6DC73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8D34052"/>
    <w:multiLevelType w:val="hybridMultilevel"/>
    <w:tmpl w:val="C6369B1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73F7595"/>
    <w:multiLevelType w:val="hybridMultilevel"/>
    <w:tmpl w:val="62D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59"/>
    <w:rsid w:val="00095906"/>
    <w:rsid w:val="00096668"/>
    <w:rsid w:val="000B6BA6"/>
    <w:rsid w:val="000C134A"/>
    <w:rsid w:val="000D0509"/>
    <w:rsid w:val="000D5136"/>
    <w:rsid w:val="000D6B56"/>
    <w:rsid w:val="000F3FC5"/>
    <w:rsid w:val="001017CF"/>
    <w:rsid w:val="00177469"/>
    <w:rsid w:val="001F582B"/>
    <w:rsid w:val="00204796"/>
    <w:rsid w:val="00221009"/>
    <w:rsid w:val="002645D5"/>
    <w:rsid w:val="00267CCD"/>
    <w:rsid w:val="002A2A44"/>
    <w:rsid w:val="00317E86"/>
    <w:rsid w:val="00324AE4"/>
    <w:rsid w:val="00347C02"/>
    <w:rsid w:val="00377639"/>
    <w:rsid w:val="003C556D"/>
    <w:rsid w:val="004172C6"/>
    <w:rsid w:val="00420D44"/>
    <w:rsid w:val="00422498"/>
    <w:rsid w:val="004B4C32"/>
    <w:rsid w:val="005172C5"/>
    <w:rsid w:val="0055446C"/>
    <w:rsid w:val="00564E4A"/>
    <w:rsid w:val="005974FE"/>
    <w:rsid w:val="005A4261"/>
    <w:rsid w:val="005D33E4"/>
    <w:rsid w:val="00624D03"/>
    <w:rsid w:val="00633E52"/>
    <w:rsid w:val="006512B6"/>
    <w:rsid w:val="006A7CDF"/>
    <w:rsid w:val="006F1788"/>
    <w:rsid w:val="00706E03"/>
    <w:rsid w:val="0074400E"/>
    <w:rsid w:val="00771C64"/>
    <w:rsid w:val="007C2F66"/>
    <w:rsid w:val="007D34F5"/>
    <w:rsid w:val="0087598F"/>
    <w:rsid w:val="008D4A84"/>
    <w:rsid w:val="008E76A9"/>
    <w:rsid w:val="009067C7"/>
    <w:rsid w:val="00974B50"/>
    <w:rsid w:val="00997605"/>
    <w:rsid w:val="009A39E8"/>
    <w:rsid w:val="009C0AF2"/>
    <w:rsid w:val="009C37FB"/>
    <w:rsid w:val="00A6292B"/>
    <w:rsid w:val="00A96467"/>
    <w:rsid w:val="00AA59A1"/>
    <w:rsid w:val="00AB2C97"/>
    <w:rsid w:val="00B05C59"/>
    <w:rsid w:val="00B36B74"/>
    <w:rsid w:val="00B904E7"/>
    <w:rsid w:val="00BB6D02"/>
    <w:rsid w:val="00BC60D0"/>
    <w:rsid w:val="00C366DC"/>
    <w:rsid w:val="00C81E1A"/>
    <w:rsid w:val="00CC724F"/>
    <w:rsid w:val="00CE6471"/>
    <w:rsid w:val="00D040BE"/>
    <w:rsid w:val="00D8512E"/>
    <w:rsid w:val="00DA6AB9"/>
    <w:rsid w:val="00DC7556"/>
    <w:rsid w:val="00DD5C24"/>
    <w:rsid w:val="00E870D7"/>
    <w:rsid w:val="00EF2770"/>
    <w:rsid w:val="00F8677C"/>
    <w:rsid w:val="00FB2AFB"/>
    <w:rsid w:val="00FC2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da-D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67"/>
    <w:pPr>
      <w:spacing w:after="200" w:line="276" w:lineRule="auto"/>
    </w:pPr>
    <w:rPr>
      <w:rFonts w:cs="Calibri"/>
    </w:rPr>
  </w:style>
  <w:style w:type="paragraph" w:styleId="Heading3">
    <w:name w:val="heading 3"/>
    <w:basedOn w:val="Normal"/>
    <w:next w:val="Normal"/>
    <w:link w:val="Heading3Char"/>
    <w:uiPriority w:val="9"/>
    <w:qFormat/>
    <w:locked/>
    <w:rsid w:val="000C134A"/>
    <w:pPr>
      <w:keepNext/>
      <w:tabs>
        <w:tab w:val="left" w:pos="567"/>
      </w:tabs>
      <w:spacing w:after="360" w:line="240" w:lineRule="auto"/>
      <w:jc w:val="both"/>
      <w:outlineLvl w:val="2"/>
    </w:pPr>
    <w:rPr>
      <w:rFonts w:ascii="Gill Sans MT" w:eastAsia="Times New Roman" w:hAnsi="Gill Sans MT" w:cs="Times New Roman"/>
      <w:b/>
      <w:iCs/>
      <w:color w:val="80828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040BE"/>
    <w:rPr>
      <w:color w:val="auto"/>
      <w:u w:val="single"/>
    </w:rPr>
  </w:style>
  <w:style w:type="paragraph" w:styleId="BalloonText">
    <w:name w:val="Balloon Text"/>
    <w:basedOn w:val="Normal"/>
    <w:link w:val="BalloonTextChar"/>
    <w:uiPriority w:val="99"/>
    <w:semiHidden/>
    <w:rsid w:val="00D0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0BE"/>
    <w:rPr>
      <w:rFonts w:ascii="Tahoma" w:hAnsi="Tahoma" w:cs="Tahoma"/>
      <w:sz w:val="16"/>
      <w:szCs w:val="16"/>
    </w:rPr>
  </w:style>
  <w:style w:type="paragraph" w:styleId="Header">
    <w:name w:val="header"/>
    <w:basedOn w:val="Normal"/>
    <w:link w:val="HeaderChar"/>
    <w:uiPriority w:val="99"/>
    <w:rsid w:val="00D040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0BE"/>
  </w:style>
  <w:style w:type="paragraph" w:styleId="Footer">
    <w:name w:val="footer"/>
    <w:basedOn w:val="Normal"/>
    <w:link w:val="FooterChar"/>
    <w:uiPriority w:val="99"/>
    <w:rsid w:val="00D040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0BE"/>
  </w:style>
  <w:style w:type="character" w:styleId="Emphasis">
    <w:name w:val="Emphasis"/>
    <w:basedOn w:val="DefaultParagraphFont"/>
    <w:uiPriority w:val="20"/>
    <w:qFormat/>
    <w:rsid w:val="009C37FB"/>
    <w:rPr>
      <w:i/>
      <w:iCs/>
    </w:rPr>
  </w:style>
  <w:style w:type="character" w:styleId="Strong">
    <w:name w:val="Strong"/>
    <w:basedOn w:val="DefaultParagraphFont"/>
    <w:uiPriority w:val="99"/>
    <w:qFormat/>
    <w:rsid w:val="00997605"/>
    <w:rPr>
      <w:b/>
      <w:bCs/>
    </w:rPr>
  </w:style>
  <w:style w:type="paragraph" w:styleId="NormalWeb">
    <w:name w:val="Normal (Web)"/>
    <w:basedOn w:val="Normal"/>
    <w:uiPriority w:val="99"/>
    <w:semiHidden/>
    <w:rsid w:val="00420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347C02"/>
  </w:style>
  <w:style w:type="paragraph" w:styleId="ListParagraph">
    <w:name w:val="List Paragraph"/>
    <w:basedOn w:val="Normal"/>
    <w:uiPriority w:val="34"/>
    <w:qFormat/>
    <w:rsid w:val="009A39E8"/>
    <w:pPr>
      <w:ind w:left="720"/>
      <w:contextualSpacing/>
    </w:pPr>
  </w:style>
  <w:style w:type="character" w:customStyle="1" w:styleId="Heading3Char">
    <w:name w:val="Heading 3 Char"/>
    <w:basedOn w:val="DefaultParagraphFont"/>
    <w:link w:val="Heading3"/>
    <w:uiPriority w:val="9"/>
    <w:rsid w:val="000C134A"/>
    <w:rPr>
      <w:rFonts w:ascii="Gill Sans MT" w:eastAsia="Times New Roman" w:hAnsi="Gill Sans MT"/>
      <w:b/>
      <w:iCs/>
      <w:color w:val="808285"/>
      <w:sz w:val="28"/>
      <w:szCs w:val="28"/>
      <w:lang w:val="da-DK" w:eastAsia="da-DK"/>
    </w:rPr>
  </w:style>
  <w:style w:type="character" w:customStyle="1" w:styleId="body">
    <w:name w:val="body"/>
    <w:uiPriority w:val="99"/>
    <w:rsid w:val="000C134A"/>
  </w:style>
  <w:style w:type="paragraph" w:customStyle="1" w:styleId="Numberedheadings">
    <w:name w:val="Numbered headings"/>
    <w:basedOn w:val="Normal"/>
    <w:qFormat/>
    <w:rsid w:val="000C134A"/>
    <w:pPr>
      <w:keepNext/>
      <w:tabs>
        <w:tab w:val="left" w:pos="567"/>
      </w:tabs>
      <w:spacing w:before="240" w:after="240" w:line="240" w:lineRule="auto"/>
      <w:ind w:left="567" w:hanging="567"/>
      <w:jc w:val="both"/>
    </w:pPr>
    <w:rPr>
      <w:rFonts w:ascii="Times New Roman" w:eastAsia="Cambria"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da-D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67"/>
    <w:pPr>
      <w:spacing w:after="200" w:line="276" w:lineRule="auto"/>
    </w:pPr>
    <w:rPr>
      <w:rFonts w:cs="Calibri"/>
    </w:rPr>
  </w:style>
  <w:style w:type="paragraph" w:styleId="Heading3">
    <w:name w:val="heading 3"/>
    <w:basedOn w:val="Normal"/>
    <w:next w:val="Normal"/>
    <w:link w:val="Heading3Char"/>
    <w:uiPriority w:val="9"/>
    <w:qFormat/>
    <w:locked/>
    <w:rsid w:val="000C134A"/>
    <w:pPr>
      <w:keepNext/>
      <w:tabs>
        <w:tab w:val="left" w:pos="567"/>
      </w:tabs>
      <w:spacing w:after="360" w:line="240" w:lineRule="auto"/>
      <w:jc w:val="both"/>
      <w:outlineLvl w:val="2"/>
    </w:pPr>
    <w:rPr>
      <w:rFonts w:ascii="Gill Sans MT" w:eastAsia="Times New Roman" w:hAnsi="Gill Sans MT" w:cs="Times New Roman"/>
      <w:b/>
      <w:iCs/>
      <w:color w:val="80828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040BE"/>
    <w:rPr>
      <w:color w:val="auto"/>
      <w:u w:val="single"/>
    </w:rPr>
  </w:style>
  <w:style w:type="paragraph" w:styleId="BalloonText">
    <w:name w:val="Balloon Text"/>
    <w:basedOn w:val="Normal"/>
    <w:link w:val="BalloonTextChar"/>
    <w:uiPriority w:val="99"/>
    <w:semiHidden/>
    <w:rsid w:val="00D0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40BE"/>
    <w:rPr>
      <w:rFonts w:ascii="Tahoma" w:hAnsi="Tahoma" w:cs="Tahoma"/>
      <w:sz w:val="16"/>
      <w:szCs w:val="16"/>
    </w:rPr>
  </w:style>
  <w:style w:type="paragraph" w:styleId="Header">
    <w:name w:val="header"/>
    <w:basedOn w:val="Normal"/>
    <w:link w:val="HeaderChar"/>
    <w:uiPriority w:val="99"/>
    <w:rsid w:val="00D040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0BE"/>
  </w:style>
  <w:style w:type="paragraph" w:styleId="Footer">
    <w:name w:val="footer"/>
    <w:basedOn w:val="Normal"/>
    <w:link w:val="FooterChar"/>
    <w:uiPriority w:val="99"/>
    <w:rsid w:val="00D040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0BE"/>
  </w:style>
  <w:style w:type="character" w:styleId="Emphasis">
    <w:name w:val="Emphasis"/>
    <w:basedOn w:val="DefaultParagraphFont"/>
    <w:uiPriority w:val="20"/>
    <w:qFormat/>
    <w:rsid w:val="009C37FB"/>
    <w:rPr>
      <w:i/>
      <w:iCs/>
    </w:rPr>
  </w:style>
  <w:style w:type="character" w:styleId="Strong">
    <w:name w:val="Strong"/>
    <w:basedOn w:val="DefaultParagraphFont"/>
    <w:uiPriority w:val="99"/>
    <w:qFormat/>
    <w:rsid w:val="00997605"/>
    <w:rPr>
      <w:b/>
      <w:bCs/>
    </w:rPr>
  </w:style>
  <w:style w:type="paragraph" w:styleId="NormalWeb">
    <w:name w:val="Normal (Web)"/>
    <w:basedOn w:val="Normal"/>
    <w:uiPriority w:val="99"/>
    <w:semiHidden/>
    <w:rsid w:val="00420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347C02"/>
  </w:style>
  <w:style w:type="paragraph" w:styleId="ListParagraph">
    <w:name w:val="List Paragraph"/>
    <w:basedOn w:val="Normal"/>
    <w:uiPriority w:val="34"/>
    <w:qFormat/>
    <w:rsid w:val="009A39E8"/>
    <w:pPr>
      <w:ind w:left="720"/>
      <w:contextualSpacing/>
    </w:pPr>
  </w:style>
  <w:style w:type="character" w:customStyle="1" w:styleId="Heading3Char">
    <w:name w:val="Heading 3 Char"/>
    <w:basedOn w:val="DefaultParagraphFont"/>
    <w:link w:val="Heading3"/>
    <w:uiPriority w:val="9"/>
    <w:rsid w:val="000C134A"/>
    <w:rPr>
      <w:rFonts w:ascii="Gill Sans MT" w:eastAsia="Times New Roman" w:hAnsi="Gill Sans MT"/>
      <w:b/>
      <w:iCs/>
      <w:color w:val="808285"/>
      <w:sz w:val="28"/>
      <w:szCs w:val="28"/>
      <w:lang w:val="da-DK" w:eastAsia="da-DK"/>
    </w:rPr>
  </w:style>
  <w:style w:type="character" w:customStyle="1" w:styleId="body">
    <w:name w:val="body"/>
    <w:uiPriority w:val="99"/>
    <w:rsid w:val="000C134A"/>
  </w:style>
  <w:style w:type="paragraph" w:customStyle="1" w:styleId="Numberedheadings">
    <w:name w:val="Numbered headings"/>
    <w:basedOn w:val="Normal"/>
    <w:qFormat/>
    <w:rsid w:val="000C134A"/>
    <w:pPr>
      <w:keepNext/>
      <w:tabs>
        <w:tab w:val="left" w:pos="567"/>
      </w:tabs>
      <w:spacing w:before="240" w:after="240" w:line="240" w:lineRule="auto"/>
      <w:ind w:left="567" w:hanging="567"/>
      <w:jc w:val="both"/>
    </w:pPr>
    <w:rPr>
      <w:rFonts w:ascii="Times New Roman" w:eastAsia="Cambr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9300">
      <w:marLeft w:val="0"/>
      <w:marRight w:val="0"/>
      <w:marTop w:val="0"/>
      <w:marBottom w:val="0"/>
      <w:divBdr>
        <w:top w:val="none" w:sz="0" w:space="0" w:color="auto"/>
        <w:left w:val="none" w:sz="0" w:space="0" w:color="auto"/>
        <w:bottom w:val="none" w:sz="0" w:space="0" w:color="auto"/>
        <w:right w:val="none" w:sz="0" w:space="0" w:color="auto"/>
      </w:divBdr>
      <w:divsChild>
        <w:div w:id="2026009305">
          <w:marLeft w:val="0"/>
          <w:marRight w:val="0"/>
          <w:marTop w:val="0"/>
          <w:marBottom w:val="180"/>
          <w:divBdr>
            <w:top w:val="single" w:sz="18" w:space="0" w:color="FF3300"/>
            <w:left w:val="none" w:sz="0" w:space="0" w:color="auto"/>
            <w:bottom w:val="none" w:sz="0" w:space="0" w:color="auto"/>
            <w:right w:val="none" w:sz="0" w:space="0" w:color="auto"/>
          </w:divBdr>
          <w:divsChild>
            <w:div w:id="2026009308">
              <w:marLeft w:val="0"/>
              <w:marRight w:val="0"/>
              <w:marTop w:val="0"/>
              <w:marBottom w:val="0"/>
              <w:divBdr>
                <w:top w:val="none" w:sz="0" w:space="0" w:color="auto"/>
                <w:left w:val="none" w:sz="0" w:space="0" w:color="auto"/>
                <w:bottom w:val="none" w:sz="0" w:space="0" w:color="auto"/>
                <w:right w:val="none" w:sz="0" w:space="0" w:color="auto"/>
              </w:divBdr>
              <w:divsChild>
                <w:div w:id="2026009302">
                  <w:marLeft w:val="0"/>
                  <w:marRight w:val="0"/>
                  <w:marTop w:val="0"/>
                  <w:marBottom w:val="0"/>
                  <w:divBdr>
                    <w:top w:val="none" w:sz="0" w:space="0" w:color="auto"/>
                    <w:left w:val="none" w:sz="0" w:space="0" w:color="auto"/>
                    <w:bottom w:val="none" w:sz="0" w:space="0" w:color="auto"/>
                    <w:right w:val="none" w:sz="0" w:space="0" w:color="auto"/>
                  </w:divBdr>
                  <w:divsChild>
                    <w:div w:id="2026009306">
                      <w:marLeft w:val="0"/>
                      <w:marRight w:val="-5040"/>
                      <w:marTop w:val="0"/>
                      <w:marBottom w:val="0"/>
                      <w:divBdr>
                        <w:top w:val="none" w:sz="0" w:space="0" w:color="auto"/>
                        <w:left w:val="none" w:sz="0" w:space="0" w:color="auto"/>
                        <w:bottom w:val="none" w:sz="0" w:space="0" w:color="auto"/>
                        <w:right w:val="none" w:sz="0" w:space="0" w:color="auto"/>
                      </w:divBdr>
                      <w:divsChild>
                        <w:div w:id="2026009310">
                          <w:marLeft w:val="0"/>
                          <w:marRight w:val="0"/>
                          <w:marTop w:val="360"/>
                          <w:marBottom w:val="360"/>
                          <w:divBdr>
                            <w:top w:val="none" w:sz="0" w:space="0" w:color="auto"/>
                            <w:left w:val="none" w:sz="0" w:space="0" w:color="auto"/>
                            <w:bottom w:val="none" w:sz="0" w:space="0" w:color="auto"/>
                            <w:right w:val="none" w:sz="0" w:space="0" w:color="auto"/>
                          </w:divBdr>
                          <w:divsChild>
                            <w:div w:id="20260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09304">
      <w:marLeft w:val="0"/>
      <w:marRight w:val="0"/>
      <w:marTop w:val="0"/>
      <w:marBottom w:val="0"/>
      <w:divBdr>
        <w:top w:val="none" w:sz="0" w:space="0" w:color="auto"/>
        <w:left w:val="none" w:sz="0" w:space="0" w:color="auto"/>
        <w:bottom w:val="none" w:sz="0" w:space="0" w:color="auto"/>
        <w:right w:val="none" w:sz="0" w:space="0" w:color="auto"/>
      </w:divBdr>
      <w:divsChild>
        <w:div w:id="2026009303">
          <w:marLeft w:val="0"/>
          <w:marRight w:val="0"/>
          <w:marTop w:val="0"/>
          <w:marBottom w:val="0"/>
          <w:divBdr>
            <w:top w:val="none" w:sz="0" w:space="0" w:color="auto"/>
            <w:left w:val="none" w:sz="0" w:space="0" w:color="auto"/>
            <w:bottom w:val="none" w:sz="0" w:space="0" w:color="auto"/>
            <w:right w:val="none" w:sz="0" w:space="0" w:color="auto"/>
          </w:divBdr>
          <w:divsChild>
            <w:div w:id="2026009299">
              <w:marLeft w:val="0"/>
              <w:marRight w:val="0"/>
              <w:marTop w:val="0"/>
              <w:marBottom w:val="0"/>
              <w:divBdr>
                <w:top w:val="none" w:sz="0" w:space="0" w:color="auto"/>
                <w:left w:val="none" w:sz="0" w:space="0" w:color="auto"/>
                <w:bottom w:val="none" w:sz="0" w:space="0" w:color="auto"/>
                <w:right w:val="none" w:sz="0" w:space="0" w:color="auto"/>
              </w:divBdr>
              <w:divsChild>
                <w:div w:id="20260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9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familystudy.eu" TargetMode="External"/><Relationship Id="rId4" Type="http://schemas.microsoft.com/office/2007/relationships/stylesWithEffects" Target="stylesWithEffect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4288-712F-4E39-BD06-C33E7CB4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10Media Information</vt:lpstr>
    </vt:vector>
  </TitlesOfParts>
  <Company>Microsoft</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10Media Information</dc:title>
  <dc:creator>Rhonda</dc:creator>
  <cp:lastModifiedBy> </cp:lastModifiedBy>
  <cp:revision>3</cp:revision>
  <cp:lastPrinted>2012-07-10T13:54:00Z</cp:lastPrinted>
  <dcterms:created xsi:type="dcterms:W3CDTF">2012-11-21T09:16:00Z</dcterms:created>
  <dcterms:modified xsi:type="dcterms:W3CDTF">2012-11-25T07:08:00Z</dcterms:modified>
</cp:coreProperties>
</file>